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E6E" w:rsidRDefault="00E93E6E" w:rsidP="00E93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3237"/>
          <w:sz w:val="28"/>
          <w:szCs w:val="28"/>
          <w:u w:val="single"/>
          <w:lang w:eastAsia="ru-RU"/>
        </w:rPr>
      </w:pPr>
      <w:r w:rsidRPr="00E93E6E">
        <w:rPr>
          <w:rFonts w:ascii="Times New Roman" w:eastAsia="Times New Roman" w:hAnsi="Times New Roman" w:cs="Times New Roman"/>
          <w:b/>
          <w:bCs/>
          <w:color w:val="293237"/>
          <w:sz w:val="28"/>
          <w:szCs w:val="28"/>
          <w:u w:val="single"/>
          <w:lang w:eastAsia="ru-RU"/>
        </w:rPr>
        <w:t xml:space="preserve">ПРАВА ГРОМАДЯН, ПЕРЕДБАЧЕНІ ЗАКОНОМ </w:t>
      </w:r>
      <w:proofErr w:type="gramStart"/>
      <w:r w:rsidRPr="00E93E6E">
        <w:rPr>
          <w:rFonts w:ascii="Times New Roman" w:eastAsia="Times New Roman" w:hAnsi="Times New Roman" w:cs="Times New Roman"/>
          <w:b/>
          <w:bCs/>
          <w:color w:val="293237"/>
          <w:sz w:val="28"/>
          <w:szCs w:val="28"/>
          <w:u w:val="single"/>
          <w:lang w:eastAsia="ru-RU"/>
        </w:rPr>
        <w:t>УКРАЇНИ</w:t>
      </w:r>
      <w:r w:rsidRPr="00E93E6E">
        <w:rPr>
          <w:rFonts w:ascii="Times New Roman" w:eastAsia="Times New Roman" w:hAnsi="Times New Roman" w:cs="Times New Roman"/>
          <w:color w:val="293237"/>
          <w:sz w:val="28"/>
          <w:szCs w:val="28"/>
          <w:u w:val="single"/>
          <w:lang w:eastAsia="ru-RU"/>
        </w:rPr>
        <w:br/>
      </w:r>
      <w:r w:rsidRPr="00E93E6E">
        <w:rPr>
          <w:rFonts w:ascii="Times New Roman" w:eastAsia="Times New Roman" w:hAnsi="Times New Roman" w:cs="Times New Roman"/>
          <w:b/>
          <w:bCs/>
          <w:color w:val="293237"/>
          <w:sz w:val="28"/>
          <w:szCs w:val="28"/>
          <w:u w:val="single"/>
          <w:lang w:eastAsia="ru-RU"/>
        </w:rPr>
        <w:t>«</w:t>
      </w:r>
      <w:proofErr w:type="gramEnd"/>
      <w:r w:rsidRPr="00E93E6E">
        <w:rPr>
          <w:rFonts w:ascii="Times New Roman" w:eastAsia="Times New Roman" w:hAnsi="Times New Roman" w:cs="Times New Roman"/>
          <w:b/>
          <w:bCs/>
          <w:color w:val="293237"/>
          <w:sz w:val="28"/>
          <w:szCs w:val="28"/>
          <w:u w:val="single"/>
          <w:lang w:eastAsia="ru-RU"/>
        </w:rPr>
        <w:t>ПРО ДОСТУП ДО ПУБЛІЧНОЇ ІНФОРМАЦІЇ»</w:t>
      </w:r>
    </w:p>
    <w:p w:rsidR="00E93E6E" w:rsidRPr="00E93E6E" w:rsidRDefault="00E93E6E" w:rsidP="00E93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3237"/>
          <w:sz w:val="28"/>
          <w:szCs w:val="28"/>
          <w:lang w:eastAsia="ru-RU"/>
        </w:rPr>
      </w:pPr>
    </w:p>
    <w:p w:rsidR="00E93E6E" w:rsidRPr="00E93E6E" w:rsidRDefault="00E93E6E" w:rsidP="00E93E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Відповідно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до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статті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10 Закону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України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«Про доступ до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публічної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інформації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»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кожна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особа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має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право:</w:t>
      </w:r>
    </w:p>
    <w:p w:rsidR="00E93E6E" w:rsidRPr="00E93E6E" w:rsidRDefault="00E93E6E" w:rsidP="00E93E6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1) знати у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період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збирання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інформації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але </w:t>
      </w:r>
      <w:proofErr w:type="gram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до початку</w:t>
      </w:r>
      <w:proofErr w:type="gram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її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використання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які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відомості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про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неї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та з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якою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метою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збираються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як, ким і з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якою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метою вони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використовуються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передаються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чи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поширюються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крім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випадків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встановлених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законом;</w:t>
      </w:r>
    </w:p>
    <w:p w:rsidR="00E93E6E" w:rsidRPr="00E93E6E" w:rsidRDefault="00E93E6E" w:rsidP="00E93E6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2) доступу до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інформації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про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неї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яка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збирається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та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зберігається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;</w:t>
      </w:r>
    </w:p>
    <w:p w:rsidR="00E93E6E" w:rsidRPr="00E93E6E" w:rsidRDefault="00E93E6E" w:rsidP="00E93E6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3)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вимагати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виправлення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неточної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неповної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застарілої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інформації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gram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про себе</w:t>
      </w:r>
      <w:proofErr w:type="gram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знищення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інформації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про себе,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збирання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використання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чи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зберігання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якої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здійснюється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з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порушенням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вимог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закону;</w:t>
      </w:r>
    </w:p>
    <w:p w:rsidR="00E93E6E" w:rsidRPr="00E93E6E" w:rsidRDefault="00E93E6E" w:rsidP="00E93E6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4) на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ознайомлення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за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рішенням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суду з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інформацією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про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інших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осіб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якщо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це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необхідно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для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реалізації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та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захисту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прав та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законних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інтересів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;</w:t>
      </w:r>
    </w:p>
    <w:p w:rsidR="00E93E6E" w:rsidRPr="00E93E6E" w:rsidRDefault="00E93E6E" w:rsidP="00E93E6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5) на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відшкодування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шкоди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у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разі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розкриття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інформації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про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цю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особу з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порушенням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вимог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визначених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законом.</w:t>
      </w:r>
    </w:p>
    <w:p w:rsidR="00E93E6E" w:rsidRPr="00E93E6E" w:rsidRDefault="00E93E6E" w:rsidP="00E93E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Відповідно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до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статті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19 Закону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України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«Про доступ до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публічної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інформації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»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запитувач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має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право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звернутися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до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розпорядника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інформації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із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запитом на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інформацію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незалежно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від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того,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стосується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ця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інформація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його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особисто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чи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ні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без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пояснення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причини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подання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запиту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.</w:t>
      </w:r>
    </w:p>
    <w:p w:rsidR="00E93E6E" w:rsidRPr="00E93E6E" w:rsidRDefault="00E93E6E" w:rsidP="00E93E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Згідно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зі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статтею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23 Закону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України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«Про доступ до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публічної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інформації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»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запитувач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має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право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оскаржити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:</w:t>
      </w:r>
      <w:bookmarkStart w:id="0" w:name="_GoBack"/>
      <w:bookmarkEnd w:id="0"/>
    </w:p>
    <w:p w:rsidR="00E93E6E" w:rsidRPr="00E93E6E" w:rsidRDefault="00E93E6E" w:rsidP="00E93E6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1)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відмову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в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задоволенні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запиту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на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інформацію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;</w:t>
      </w:r>
    </w:p>
    <w:p w:rsidR="00E93E6E" w:rsidRPr="00E93E6E" w:rsidRDefault="00E93E6E" w:rsidP="00E93E6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2)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відстрочку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задоволення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запиту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на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інформацію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;</w:t>
      </w:r>
    </w:p>
    <w:p w:rsidR="00E93E6E" w:rsidRPr="00E93E6E" w:rsidRDefault="00E93E6E" w:rsidP="00E93E6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3)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ненадання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відповіді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на запит на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інформацію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;</w:t>
      </w:r>
    </w:p>
    <w:p w:rsidR="00E93E6E" w:rsidRPr="00E93E6E" w:rsidRDefault="00E93E6E" w:rsidP="00E93E6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4)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надання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недостовірної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або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неповної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інформації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;</w:t>
      </w:r>
    </w:p>
    <w:p w:rsidR="00E93E6E" w:rsidRPr="00E93E6E" w:rsidRDefault="00E93E6E" w:rsidP="00E93E6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5)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несвоєчасне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надання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інформації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;</w:t>
      </w:r>
    </w:p>
    <w:p w:rsidR="00E93E6E" w:rsidRPr="00E93E6E" w:rsidRDefault="00E93E6E" w:rsidP="00E93E6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lastRenderedPageBreak/>
        <w:t xml:space="preserve">6)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невиконання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розпорядниками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обов’язку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оприлюднювати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інформацію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відповідно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до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статті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15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цього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Закону;</w:t>
      </w:r>
    </w:p>
    <w:p w:rsidR="00E93E6E" w:rsidRPr="00E93E6E" w:rsidRDefault="00E93E6E" w:rsidP="00E93E6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</w:pPr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7)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інші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рішення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дії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чи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бездіяльність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розпорядників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інформації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,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що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порушили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законні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права та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інтереси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 xml:space="preserve"> </w:t>
      </w:r>
      <w:proofErr w:type="spellStart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запитувача</w:t>
      </w:r>
      <w:proofErr w:type="spellEnd"/>
      <w:r w:rsidRPr="00E93E6E">
        <w:rPr>
          <w:rFonts w:ascii="Times New Roman" w:eastAsia="Times New Roman" w:hAnsi="Times New Roman" w:cs="Times New Roman"/>
          <w:color w:val="293237"/>
          <w:sz w:val="36"/>
          <w:szCs w:val="36"/>
          <w:lang w:eastAsia="ru-RU"/>
        </w:rPr>
        <w:t>.</w:t>
      </w:r>
    </w:p>
    <w:p w:rsidR="00B26BC3" w:rsidRPr="00E93E6E" w:rsidRDefault="00E93E6E">
      <w:pPr>
        <w:rPr>
          <w:rFonts w:ascii="Times New Roman" w:hAnsi="Times New Roman" w:cs="Times New Roman"/>
          <w:sz w:val="36"/>
          <w:szCs w:val="36"/>
        </w:rPr>
      </w:pPr>
    </w:p>
    <w:sectPr w:rsidR="00B26BC3" w:rsidRPr="00E9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40C33"/>
    <w:multiLevelType w:val="multilevel"/>
    <w:tmpl w:val="7CD4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691AC9"/>
    <w:multiLevelType w:val="multilevel"/>
    <w:tmpl w:val="A2B8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6E"/>
    <w:rsid w:val="00432422"/>
    <w:rsid w:val="00B40796"/>
    <w:rsid w:val="00E9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1835B-E2CE-4AC1-B7DB-3A71CE55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Щербата Тетяна</dc:creator>
  <cp:keywords/>
  <dc:description/>
  <cp:lastModifiedBy>Щербата Тетяна</cp:lastModifiedBy>
  <cp:revision>1</cp:revision>
  <dcterms:created xsi:type="dcterms:W3CDTF">2021-02-26T13:24:00Z</dcterms:created>
  <dcterms:modified xsi:type="dcterms:W3CDTF">2021-02-26T13:25:00Z</dcterms:modified>
</cp:coreProperties>
</file>