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0A" w:rsidRDefault="0027200A" w:rsidP="0027200A">
      <w:pPr>
        <w:jc w:val="center"/>
        <w:rPr>
          <w:color w:val="FFFFFF"/>
          <w:sz w:val="28"/>
          <w:szCs w:val="28"/>
        </w:rPr>
      </w:pPr>
      <w:r>
        <w:rPr>
          <w:color w:val="FFFFFF"/>
          <w:sz w:val="28"/>
          <w:szCs w:val="28"/>
        </w:rPr>
        <w:t>ЧЕРКАСЬКА</w:t>
      </w:r>
      <w:r>
        <w:rPr>
          <w:noProof/>
          <w:sz w:val="28"/>
          <w:szCs w:val="28"/>
          <w:lang w:val="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27200A" w:rsidRDefault="0027200A" w:rsidP="0027200A">
      <w:pPr>
        <w:jc w:val="center"/>
        <w:rPr>
          <w:spacing w:val="20"/>
          <w:sz w:val="28"/>
          <w:szCs w:val="28"/>
        </w:rPr>
      </w:pPr>
      <w:r>
        <w:rPr>
          <w:spacing w:val="20"/>
          <w:sz w:val="28"/>
          <w:szCs w:val="28"/>
        </w:rPr>
        <w:t>ЧЕРКАСЬКА МІСЬКА РАДА</w:t>
      </w:r>
    </w:p>
    <w:p w:rsidR="0027200A" w:rsidRDefault="0027200A" w:rsidP="0027200A">
      <w:pPr>
        <w:jc w:val="center"/>
        <w:rPr>
          <w:sz w:val="28"/>
          <w:szCs w:val="28"/>
        </w:rPr>
      </w:pPr>
    </w:p>
    <w:p w:rsidR="0027200A" w:rsidRDefault="0027200A" w:rsidP="0027200A">
      <w:pPr>
        <w:jc w:val="center"/>
        <w:rPr>
          <w:sz w:val="28"/>
          <w:szCs w:val="28"/>
        </w:rPr>
      </w:pPr>
      <w:r>
        <w:rPr>
          <w:sz w:val="28"/>
          <w:szCs w:val="28"/>
        </w:rPr>
        <w:t>ВИКОНАВЧИЙ КОМІТЕТ</w:t>
      </w:r>
    </w:p>
    <w:p w:rsidR="0027200A" w:rsidRDefault="0027200A" w:rsidP="0027200A">
      <w:pPr>
        <w:jc w:val="center"/>
        <w:rPr>
          <w:sz w:val="28"/>
          <w:szCs w:val="28"/>
        </w:rPr>
      </w:pPr>
    </w:p>
    <w:p w:rsidR="0027200A" w:rsidRDefault="0027200A" w:rsidP="0027200A">
      <w:pPr>
        <w:jc w:val="center"/>
        <w:rPr>
          <w:b/>
          <w:sz w:val="28"/>
          <w:szCs w:val="28"/>
        </w:rPr>
      </w:pPr>
      <w:r>
        <w:rPr>
          <w:b/>
          <w:sz w:val="28"/>
          <w:szCs w:val="28"/>
        </w:rPr>
        <w:t>РІШЕННЯ</w:t>
      </w:r>
    </w:p>
    <w:p w:rsidR="0027200A" w:rsidRDefault="0027200A" w:rsidP="0027200A">
      <w:pPr>
        <w:jc w:val="center"/>
        <w:rPr>
          <w:b/>
          <w:sz w:val="28"/>
          <w:szCs w:val="28"/>
        </w:rPr>
      </w:pPr>
    </w:p>
    <w:p w:rsidR="007B497D" w:rsidRPr="0027200A" w:rsidRDefault="0027200A" w:rsidP="0027200A">
      <w:pPr>
        <w:jc w:val="center"/>
        <w:rPr>
          <w:sz w:val="28"/>
          <w:szCs w:val="28"/>
          <w:lang w:val="en-US"/>
        </w:rPr>
      </w:pPr>
      <w:r>
        <w:rPr>
          <w:sz w:val="28"/>
          <w:szCs w:val="28"/>
        </w:rPr>
        <w:t xml:space="preserve">Від </w:t>
      </w:r>
      <w:r>
        <w:rPr>
          <w:sz w:val="28"/>
          <w:szCs w:val="28"/>
          <w:u w:val="single"/>
        </w:rPr>
        <w:t>09.</w:t>
      </w:r>
      <w:r>
        <w:rPr>
          <w:sz w:val="28"/>
          <w:szCs w:val="28"/>
          <w:u w:val="single"/>
          <w:lang w:val="en-US"/>
        </w:rPr>
        <w:t>0</w:t>
      </w:r>
      <w:r>
        <w:rPr>
          <w:sz w:val="28"/>
          <w:szCs w:val="28"/>
          <w:u w:val="single"/>
        </w:rPr>
        <w:t>2.2016</w:t>
      </w:r>
      <w:r>
        <w:rPr>
          <w:sz w:val="28"/>
          <w:szCs w:val="28"/>
        </w:rPr>
        <w:t xml:space="preserve"> № </w:t>
      </w:r>
      <w:r>
        <w:rPr>
          <w:sz w:val="28"/>
          <w:szCs w:val="28"/>
          <w:u w:val="single"/>
        </w:rPr>
        <w:t>12</w:t>
      </w:r>
      <w:r>
        <w:rPr>
          <w:sz w:val="28"/>
          <w:szCs w:val="28"/>
          <w:u w:val="single"/>
          <w:lang w:val="en-US"/>
        </w:rPr>
        <w:t>1</w:t>
      </w:r>
      <w:bookmarkStart w:id="0" w:name="_GoBack"/>
      <w:bookmarkEnd w:id="0"/>
    </w:p>
    <w:p w:rsidR="007B497D" w:rsidRPr="00E557B2" w:rsidRDefault="007B497D" w:rsidP="007B497D"/>
    <w:p w:rsidR="007B497D" w:rsidRPr="001627E8" w:rsidRDefault="007B497D" w:rsidP="007B497D">
      <w:pPr>
        <w:pStyle w:val="3"/>
        <w:spacing w:before="200"/>
        <w:ind w:firstLine="0"/>
        <w:rPr>
          <w:bCs/>
          <w:szCs w:val="28"/>
        </w:rPr>
      </w:pPr>
      <w:r w:rsidRPr="001627E8">
        <w:rPr>
          <w:bCs/>
          <w:szCs w:val="28"/>
        </w:rPr>
        <w:t xml:space="preserve">Про проект рішення міської </w:t>
      </w:r>
    </w:p>
    <w:p w:rsidR="007B497D" w:rsidRPr="001627E8" w:rsidRDefault="007B497D" w:rsidP="007B497D">
      <w:pPr>
        <w:rPr>
          <w:bCs/>
          <w:sz w:val="28"/>
          <w:szCs w:val="28"/>
        </w:rPr>
      </w:pPr>
      <w:r w:rsidRPr="001627E8">
        <w:rPr>
          <w:bCs/>
          <w:sz w:val="28"/>
          <w:szCs w:val="28"/>
        </w:rPr>
        <w:t xml:space="preserve">ради «Про затвердження звіту </w:t>
      </w:r>
    </w:p>
    <w:p w:rsidR="007B497D" w:rsidRPr="001627E8" w:rsidRDefault="007B497D" w:rsidP="007B497D">
      <w:pPr>
        <w:rPr>
          <w:bCs/>
          <w:sz w:val="28"/>
          <w:szCs w:val="28"/>
        </w:rPr>
      </w:pPr>
      <w:r w:rsidRPr="001627E8">
        <w:rPr>
          <w:bCs/>
          <w:sz w:val="28"/>
          <w:szCs w:val="28"/>
        </w:rPr>
        <w:t>про виконання міського</w:t>
      </w:r>
    </w:p>
    <w:p w:rsidR="007B497D" w:rsidRPr="001627E8" w:rsidRDefault="007B497D" w:rsidP="007B497D">
      <w:pPr>
        <w:rPr>
          <w:bCs/>
          <w:sz w:val="28"/>
          <w:szCs w:val="28"/>
        </w:rPr>
      </w:pPr>
      <w:r w:rsidRPr="001627E8">
        <w:rPr>
          <w:bCs/>
          <w:sz w:val="28"/>
          <w:szCs w:val="28"/>
        </w:rPr>
        <w:t>бюджету за 201</w:t>
      </w:r>
      <w:r>
        <w:rPr>
          <w:bCs/>
          <w:sz w:val="28"/>
          <w:szCs w:val="28"/>
        </w:rPr>
        <w:t>5</w:t>
      </w:r>
      <w:r w:rsidRPr="001627E8">
        <w:rPr>
          <w:bCs/>
          <w:sz w:val="28"/>
          <w:szCs w:val="28"/>
        </w:rPr>
        <w:t xml:space="preserve"> рік»</w:t>
      </w:r>
    </w:p>
    <w:p w:rsidR="007B497D" w:rsidRPr="000D5640" w:rsidRDefault="007B497D" w:rsidP="007B497D">
      <w:pPr>
        <w:rPr>
          <w:sz w:val="32"/>
        </w:rPr>
      </w:pPr>
    </w:p>
    <w:p w:rsidR="007B497D" w:rsidRPr="000D5640" w:rsidRDefault="007B497D" w:rsidP="007B497D">
      <w:pPr>
        <w:ind w:firstLine="708"/>
        <w:rPr>
          <w:sz w:val="32"/>
        </w:rPr>
      </w:pPr>
    </w:p>
    <w:p w:rsidR="007B497D" w:rsidRPr="000D5640" w:rsidRDefault="007B497D" w:rsidP="007B497D">
      <w:pPr>
        <w:ind w:firstLine="708"/>
        <w:rPr>
          <w:sz w:val="32"/>
        </w:rPr>
      </w:pPr>
    </w:p>
    <w:p w:rsidR="007B497D" w:rsidRPr="000D5640" w:rsidRDefault="007B497D" w:rsidP="007B497D">
      <w:pPr>
        <w:pStyle w:val="31"/>
        <w:jc w:val="both"/>
      </w:pPr>
      <w:r w:rsidRPr="000D5640">
        <w:t xml:space="preserve">Відповідно до підпункту 1 пункту </w:t>
      </w:r>
      <w:r>
        <w:t>«</w:t>
      </w:r>
      <w:r w:rsidRPr="000D5640">
        <w:t>а</w:t>
      </w:r>
      <w:r>
        <w:t>»</w:t>
      </w:r>
      <w:r w:rsidRPr="000D5640">
        <w:t xml:space="preserve"> статті 28 Закону України </w:t>
      </w:r>
      <w:r>
        <w:t>«</w:t>
      </w:r>
      <w:r w:rsidRPr="000D5640">
        <w:t>Про місцеве самоврядування в Україні</w:t>
      </w:r>
      <w:r>
        <w:t>»</w:t>
      </w:r>
      <w:r w:rsidRPr="000D5640">
        <w:t xml:space="preserve">, статті 80 Бюджетного кодексу України, </w:t>
      </w:r>
      <w:r>
        <w:t xml:space="preserve">виконавчий комітет </w:t>
      </w:r>
      <w:r w:rsidRPr="000D5640">
        <w:t xml:space="preserve">Черкаської міської ради </w:t>
      </w:r>
    </w:p>
    <w:p w:rsidR="007B497D" w:rsidRPr="001627E8" w:rsidRDefault="007B497D" w:rsidP="007B497D">
      <w:pPr>
        <w:spacing w:before="120" w:after="120"/>
        <w:rPr>
          <w:bCs/>
          <w:sz w:val="28"/>
        </w:rPr>
      </w:pPr>
      <w:r w:rsidRPr="001627E8">
        <w:rPr>
          <w:bCs/>
          <w:sz w:val="28"/>
        </w:rPr>
        <w:t xml:space="preserve">ВИРІШИВ:  </w:t>
      </w:r>
    </w:p>
    <w:p w:rsidR="007B497D" w:rsidRPr="000D5640" w:rsidRDefault="007B497D" w:rsidP="007B497D">
      <w:pPr>
        <w:ind w:firstLine="720"/>
        <w:jc w:val="both"/>
        <w:rPr>
          <w:sz w:val="28"/>
          <w:szCs w:val="28"/>
        </w:rPr>
      </w:pPr>
      <w:r w:rsidRPr="000D5640">
        <w:rPr>
          <w:sz w:val="28"/>
          <w:szCs w:val="28"/>
        </w:rPr>
        <w:t xml:space="preserve">1. Погодити проект рішення міської ради </w:t>
      </w:r>
      <w:r>
        <w:rPr>
          <w:sz w:val="28"/>
          <w:szCs w:val="28"/>
        </w:rPr>
        <w:t>«</w:t>
      </w:r>
      <w:r w:rsidRPr="000D5640">
        <w:rPr>
          <w:sz w:val="28"/>
          <w:szCs w:val="28"/>
        </w:rPr>
        <w:t>Про затвердження звіту про виконання міського бюджету за 201</w:t>
      </w:r>
      <w:r>
        <w:rPr>
          <w:sz w:val="28"/>
          <w:szCs w:val="28"/>
        </w:rPr>
        <w:t>5</w:t>
      </w:r>
      <w:r w:rsidRPr="000D5640">
        <w:rPr>
          <w:sz w:val="28"/>
          <w:szCs w:val="28"/>
        </w:rPr>
        <w:t xml:space="preserve"> р</w:t>
      </w:r>
      <w:r>
        <w:rPr>
          <w:sz w:val="28"/>
          <w:szCs w:val="28"/>
        </w:rPr>
        <w:t>ік»</w:t>
      </w:r>
      <w:r w:rsidRPr="000D5640">
        <w:rPr>
          <w:sz w:val="28"/>
          <w:szCs w:val="28"/>
        </w:rPr>
        <w:t>, подати його на розгляд та затвердження міської ради.</w:t>
      </w:r>
    </w:p>
    <w:p w:rsidR="007B497D" w:rsidRPr="007C7EF2" w:rsidRDefault="007B497D" w:rsidP="007B497D">
      <w:pPr>
        <w:spacing w:before="120"/>
        <w:ind w:firstLine="720"/>
        <w:jc w:val="both"/>
        <w:rPr>
          <w:sz w:val="28"/>
          <w:szCs w:val="28"/>
        </w:rPr>
      </w:pPr>
      <w:r w:rsidRPr="007C7EF2">
        <w:rPr>
          <w:sz w:val="28"/>
          <w:szCs w:val="28"/>
        </w:rPr>
        <w:t>2. Контроль за виконанням рішення покласти на директора департаменту фінансової політики Джуган Н.В.</w:t>
      </w:r>
    </w:p>
    <w:p w:rsidR="007B497D" w:rsidRPr="000D5640" w:rsidRDefault="007B497D" w:rsidP="007B497D">
      <w:pPr>
        <w:pStyle w:val="a3"/>
        <w:ind w:left="180" w:firstLine="708"/>
        <w:rPr>
          <w:szCs w:val="28"/>
        </w:rPr>
      </w:pPr>
    </w:p>
    <w:p w:rsidR="007B497D" w:rsidRPr="000D5640" w:rsidRDefault="007B497D" w:rsidP="007B497D">
      <w:pPr>
        <w:jc w:val="both"/>
        <w:rPr>
          <w:sz w:val="28"/>
        </w:rPr>
      </w:pPr>
    </w:p>
    <w:p w:rsidR="007B497D" w:rsidRDefault="007B497D" w:rsidP="007B497D">
      <w:pPr>
        <w:jc w:val="both"/>
        <w:rPr>
          <w:sz w:val="28"/>
          <w:lang w:val="ru-RU"/>
        </w:rPr>
      </w:pPr>
    </w:p>
    <w:p w:rsidR="007B497D" w:rsidRPr="007C7EF2" w:rsidRDefault="007B497D" w:rsidP="007B497D">
      <w:pPr>
        <w:pStyle w:val="4"/>
        <w:ind w:left="540" w:hanging="540"/>
        <w:rPr>
          <w:bCs/>
        </w:rPr>
      </w:pPr>
      <w:r w:rsidRPr="007C7EF2">
        <w:rPr>
          <w:bCs/>
        </w:rPr>
        <w:t>Міський гол</w:t>
      </w:r>
      <w:r>
        <w:rPr>
          <w:bCs/>
        </w:rPr>
        <w:t xml:space="preserve">ова         </w:t>
      </w:r>
      <w:r>
        <w:rPr>
          <w:bCs/>
        </w:rPr>
        <w:tab/>
      </w:r>
      <w:r>
        <w:rPr>
          <w:bCs/>
        </w:rPr>
        <w:tab/>
      </w:r>
      <w:r>
        <w:rPr>
          <w:bCs/>
        </w:rPr>
        <w:tab/>
      </w:r>
      <w:r>
        <w:rPr>
          <w:bCs/>
        </w:rPr>
        <w:tab/>
      </w:r>
      <w:r>
        <w:rPr>
          <w:bCs/>
        </w:rPr>
        <w:tab/>
      </w:r>
      <w:r>
        <w:rPr>
          <w:bCs/>
        </w:rPr>
        <w:tab/>
        <w:t xml:space="preserve">        А.В. Бондаренко</w:t>
      </w:r>
    </w:p>
    <w:p w:rsidR="007B497D" w:rsidRDefault="007B497D" w:rsidP="007B497D">
      <w:pPr>
        <w:jc w:val="both"/>
        <w:rPr>
          <w:sz w:val="28"/>
          <w:lang w:val="ru-RU"/>
        </w:rPr>
      </w:pPr>
    </w:p>
    <w:p w:rsidR="007B497D" w:rsidRPr="000D5640" w:rsidRDefault="007B497D" w:rsidP="007B497D">
      <w:pPr>
        <w:jc w:val="both"/>
        <w:rPr>
          <w:sz w:val="28"/>
          <w:lang w:val="ru-RU"/>
        </w:rPr>
      </w:pPr>
    </w:p>
    <w:p w:rsidR="00C74C66" w:rsidRPr="00582247" w:rsidRDefault="007B497D" w:rsidP="007B497D">
      <w:pPr>
        <w:ind w:firstLine="708"/>
        <w:jc w:val="both"/>
        <w:rPr>
          <w:sz w:val="28"/>
        </w:rPr>
      </w:pPr>
      <w:r>
        <w:rPr>
          <w:sz w:val="28"/>
        </w:rPr>
        <w:br w:type="column"/>
      </w:r>
    </w:p>
    <w:tbl>
      <w:tblPr>
        <w:tblW w:w="9606"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99"/>
      </w:tblGrid>
      <w:tr w:rsidR="00C74C66" w:rsidRPr="00C74C66" w:rsidTr="002F34D0">
        <w:trPr>
          <w:jc w:val="center"/>
        </w:trPr>
        <w:tc>
          <w:tcPr>
            <w:tcW w:w="1063" w:type="dxa"/>
            <w:shd w:val="clear" w:color="auto" w:fill="auto"/>
            <w:noWrap/>
            <w:vAlign w:val="center"/>
          </w:tcPr>
          <w:p w:rsidR="00C74C66" w:rsidRPr="00C74C66" w:rsidRDefault="00C74C66" w:rsidP="00C74C66"/>
        </w:tc>
        <w:tc>
          <w:tcPr>
            <w:tcW w:w="1063" w:type="dxa"/>
            <w:shd w:val="clear" w:color="auto" w:fill="auto"/>
            <w:noWrap/>
            <w:vAlign w:val="center"/>
          </w:tcPr>
          <w:p w:rsidR="00C74C66" w:rsidRPr="00C74C66" w:rsidRDefault="00C74C66" w:rsidP="00C74C66"/>
        </w:tc>
        <w:tc>
          <w:tcPr>
            <w:tcW w:w="1063" w:type="dxa"/>
            <w:shd w:val="clear" w:color="auto" w:fill="auto"/>
            <w:noWrap/>
            <w:vAlign w:val="center"/>
          </w:tcPr>
          <w:p w:rsidR="00C74C66" w:rsidRPr="00C74C66" w:rsidRDefault="00C74C66" w:rsidP="00C74C66"/>
        </w:tc>
        <w:tc>
          <w:tcPr>
            <w:tcW w:w="747" w:type="dxa"/>
            <w:shd w:val="clear" w:color="auto" w:fill="auto"/>
            <w:noWrap/>
            <w:vAlign w:val="center"/>
          </w:tcPr>
          <w:p w:rsidR="00C74C66" w:rsidRPr="00C74C66" w:rsidRDefault="00C74C66" w:rsidP="00C74C66"/>
        </w:tc>
        <w:tc>
          <w:tcPr>
            <w:tcW w:w="1701" w:type="dxa"/>
            <w:shd w:val="clear" w:color="auto" w:fill="auto"/>
            <w:noWrap/>
            <w:vAlign w:val="center"/>
          </w:tcPr>
          <w:p w:rsidR="00C74C66" w:rsidRPr="00C74C66" w:rsidRDefault="00C74C66" w:rsidP="00C74C66">
            <w:pPr>
              <w:jc w:val="center"/>
              <w:rPr>
                <w:color w:val="000000"/>
              </w:rPr>
            </w:pPr>
          </w:p>
        </w:tc>
        <w:tc>
          <w:tcPr>
            <w:tcW w:w="708" w:type="dxa"/>
            <w:shd w:val="clear" w:color="auto" w:fill="auto"/>
            <w:noWrap/>
            <w:vAlign w:val="center"/>
          </w:tcPr>
          <w:p w:rsidR="00C74C66" w:rsidRPr="00C74C66" w:rsidRDefault="00C74C66" w:rsidP="00C74C66"/>
        </w:tc>
        <w:tc>
          <w:tcPr>
            <w:tcW w:w="1098" w:type="dxa"/>
            <w:tcBorders>
              <w:right w:val="single" w:sz="4" w:space="0" w:color="auto"/>
            </w:tcBorders>
            <w:shd w:val="clear" w:color="auto" w:fill="auto"/>
            <w:noWrap/>
            <w:vAlign w:val="center"/>
          </w:tcPr>
          <w:p w:rsidR="00C74C66" w:rsidRPr="00C74C66" w:rsidRDefault="00C74C66" w:rsidP="00C74C66"/>
        </w:tc>
        <w:tc>
          <w:tcPr>
            <w:tcW w:w="2163" w:type="dxa"/>
            <w:gridSpan w:val="2"/>
            <w:tcBorders>
              <w:top w:val="single" w:sz="4" w:space="0" w:color="auto"/>
              <w:left w:val="single" w:sz="4" w:space="0" w:color="auto"/>
              <w:right w:val="single" w:sz="4" w:space="0" w:color="auto"/>
            </w:tcBorders>
            <w:shd w:val="clear" w:color="auto" w:fill="000000"/>
            <w:noWrap/>
            <w:vAlign w:val="center"/>
          </w:tcPr>
          <w:p w:rsidR="00C74C66" w:rsidRPr="00C74C66" w:rsidRDefault="00C74C66" w:rsidP="00C74C66">
            <w:pPr>
              <w:rPr>
                <w:b/>
                <w:color w:val="FFFFFF"/>
                <w:sz w:val="28"/>
                <w:szCs w:val="28"/>
              </w:rPr>
            </w:pPr>
            <w:r w:rsidRPr="00C74C66">
              <w:rPr>
                <w:b/>
                <w:color w:val="FFFFFF"/>
                <w:sz w:val="28"/>
                <w:szCs w:val="28"/>
              </w:rPr>
              <w:t>Проект рішення</w:t>
            </w:r>
          </w:p>
        </w:tc>
      </w:tr>
      <w:tr w:rsidR="00C74C66" w:rsidRPr="00C74C66" w:rsidTr="002F34D0">
        <w:trPr>
          <w:trHeight w:val="898"/>
          <w:jc w:val="center"/>
        </w:trPr>
        <w:tc>
          <w:tcPr>
            <w:tcW w:w="1063" w:type="dxa"/>
            <w:shd w:val="clear" w:color="auto" w:fill="auto"/>
            <w:noWrap/>
            <w:vAlign w:val="center"/>
          </w:tcPr>
          <w:p w:rsidR="00C74C66" w:rsidRPr="00C74C66" w:rsidRDefault="00C74C66" w:rsidP="00C74C66"/>
        </w:tc>
        <w:tc>
          <w:tcPr>
            <w:tcW w:w="1063" w:type="dxa"/>
            <w:shd w:val="clear" w:color="auto" w:fill="auto"/>
            <w:noWrap/>
            <w:vAlign w:val="center"/>
          </w:tcPr>
          <w:p w:rsidR="00C74C66" w:rsidRPr="00C74C66" w:rsidRDefault="00C74C66" w:rsidP="00C74C66"/>
        </w:tc>
        <w:tc>
          <w:tcPr>
            <w:tcW w:w="1063" w:type="dxa"/>
            <w:shd w:val="clear" w:color="auto" w:fill="auto"/>
            <w:noWrap/>
            <w:vAlign w:val="center"/>
          </w:tcPr>
          <w:p w:rsidR="00C74C66" w:rsidRPr="00C74C66" w:rsidRDefault="00C74C66" w:rsidP="00C74C66"/>
        </w:tc>
        <w:tc>
          <w:tcPr>
            <w:tcW w:w="747" w:type="dxa"/>
            <w:shd w:val="clear" w:color="auto" w:fill="auto"/>
            <w:noWrap/>
            <w:vAlign w:val="center"/>
          </w:tcPr>
          <w:p w:rsidR="00C74C66" w:rsidRPr="00C74C66" w:rsidRDefault="00C74C66" w:rsidP="00C74C66"/>
        </w:tc>
        <w:tc>
          <w:tcPr>
            <w:tcW w:w="1701" w:type="dxa"/>
            <w:shd w:val="clear" w:color="auto" w:fill="auto"/>
            <w:noWrap/>
            <w:vAlign w:val="center"/>
          </w:tcPr>
          <w:p w:rsidR="00C74C66" w:rsidRPr="00C74C66" w:rsidRDefault="00C74C66" w:rsidP="00C74C66">
            <w:pPr>
              <w:jc w:val="center"/>
            </w:pPr>
            <w:r w:rsidRPr="00C74C66">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7" o:title=""/>
                </v:shape>
                <o:OLEObject Type="Embed" ProgID="PBrush" ShapeID="_x0000_i1025" DrawAspect="Content" ObjectID="_1517038285" r:id="rId8"/>
              </w:object>
            </w:r>
          </w:p>
        </w:tc>
        <w:tc>
          <w:tcPr>
            <w:tcW w:w="708" w:type="dxa"/>
            <w:shd w:val="clear" w:color="auto" w:fill="auto"/>
            <w:noWrap/>
            <w:vAlign w:val="center"/>
          </w:tcPr>
          <w:p w:rsidR="00C74C66" w:rsidRPr="00C74C66" w:rsidRDefault="00C74C66" w:rsidP="00C74C66"/>
        </w:tc>
        <w:tc>
          <w:tcPr>
            <w:tcW w:w="1098" w:type="dxa"/>
            <w:tcBorders>
              <w:right w:val="single" w:sz="4" w:space="0" w:color="auto"/>
            </w:tcBorders>
            <w:shd w:val="clear" w:color="auto" w:fill="auto"/>
            <w:noWrap/>
            <w:vAlign w:val="center"/>
          </w:tcPr>
          <w:p w:rsidR="00C74C66" w:rsidRPr="00C74C66" w:rsidRDefault="00C74C66" w:rsidP="00C74C66"/>
        </w:tc>
        <w:tc>
          <w:tcPr>
            <w:tcW w:w="2163" w:type="dxa"/>
            <w:gridSpan w:val="2"/>
            <w:tcBorders>
              <w:left w:val="single" w:sz="4" w:space="0" w:color="auto"/>
              <w:right w:val="single" w:sz="4" w:space="0" w:color="auto"/>
            </w:tcBorders>
            <w:shd w:val="clear" w:color="auto" w:fill="FFFFFF"/>
            <w:noWrap/>
            <w:vAlign w:val="center"/>
          </w:tcPr>
          <w:p w:rsidR="00C74C66" w:rsidRPr="00C74C66" w:rsidRDefault="00C74C66" w:rsidP="00C74C66">
            <w:pPr>
              <w:rPr>
                <w:b/>
                <w:sz w:val="36"/>
                <w:szCs w:val="36"/>
                <w:lang w:val="ru-RU"/>
              </w:rPr>
            </w:pPr>
          </w:p>
        </w:tc>
      </w:tr>
      <w:tr w:rsidR="00C74C66" w:rsidRPr="00C74C66" w:rsidTr="002F34D0">
        <w:trPr>
          <w:jc w:val="center"/>
        </w:trPr>
        <w:tc>
          <w:tcPr>
            <w:tcW w:w="1063" w:type="dxa"/>
            <w:shd w:val="clear" w:color="auto" w:fill="auto"/>
            <w:noWrap/>
            <w:vAlign w:val="center"/>
          </w:tcPr>
          <w:p w:rsidR="00C74C66" w:rsidRPr="00C74C66" w:rsidRDefault="00C74C66" w:rsidP="00C74C66"/>
        </w:tc>
        <w:tc>
          <w:tcPr>
            <w:tcW w:w="1063" w:type="dxa"/>
            <w:shd w:val="clear" w:color="auto" w:fill="auto"/>
            <w:noWrap/>
            <w:vAlign w:val="center"/>
          </w:tcPr>
          <w:p w:rsidR="00C74C66" w:rsidRPr="00C74C66" w:rsidRDefault="00C74C66" w:rsidP="00C74C66"/>
        </w:tc>
        <w:tc>
          <w:tcPr>
            <w:tcW w:w="5317" w:type="dxa"/>
            <w:gridSpan w:val="5"/>
            <w:shd w:val="clear" w:color="auto" w:fill="auto"/>
            <w:noWrap/>
            <w:vAlign w:val="center"/>
          </w:tcPr>
          <w:p w:rsidR="00C74C66" w:rsidRPr="00C74C66" w:rsidRDefault="00C74C66" w:rsidP="00C74C66">
            <w:pPr>
              <w:jc w:val="center"/>
            </w:pPr>
            <w:r w:rsidRPr="00C74C66">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C74C66" w:rsidRPr="00C74C66" w:rsidRDefault="00C74C66" w:rsidP="00C74C66"/>
        </w:tc>
        <w:tc>
          <w:tcPr>
            <w:tcW w:w="1099" w:type="dxa"/>
            <w:tcBorders>
              <w:top w:val="single" w:sz="4" w:space="0" w:color="auto"/>
            </w:tcBorders>
            <w:shd w:val="clear" w:color="auto" w:fill="auto"/>
            <w:noWrap/>
            <w:vAlign w:val="center"/>
          </w:tcPr>
          <w:p w:rsidR="00C74C66" w:rsidRPr="00C74C66" w:rsidRDefault="00C74C66" w:rsidP="00C74C66"/>
        </w:tc>
      </w:tr>
      <w:tr w:rsidR="00C74C66" w:rsidRPr="00C74C66" w:rsidTr="002F34D0">
        <w:trPr>
          <w:jc w:val="center"/>
        </w:trPr>
        <w:tc>
          <w:tcPr>
            <w:tcW w:w="1063" w:type="dxa"/>
            <w:shd w:val="clear" w:color="auto" w:fill="auto"/>
            <w:noWrap/>
            <w:vAlign w:val="center"/>
          </w:tcPr>
          <w:p w:rsidR="00C74C66" w:rsidRPr="00C74C66" w:rsidRDefault="00C74C66" w:rsidP="00C74C66">
            <w:pPr>
              <w:rPr>
                <w:color w:val="FFFFFF"/>
              </w:rPr>
            </w:pPr>
            <w:r w:rsidRPr="00C74C66">
              <w:rPr>
                <w:color w:val="FFFFFF"/>
              </w:rPr>
              <w:t>&lt;</w:t>
            </w:r>
          </w:p>
        </w:tc>
        <w:tc>
          <w:tcPr>
            <w:tcW w:w="1063" w:type="dxa"/>
            <w:shd w:val="clear" w:color="auto" w:fill="auto"/>
            <w:noWrap/>
            <w:vAlign w:val="center"/>
          </w:tcPr>
          <w:p w:rsidR="00C74C66" w:rsidRPr="00C74C66" w:rsidRDefault="00C74C66" w:rsidP="00C74C66"/>
        </w:tc>
        <w:tc>
          <w:tcPr>
            <w:tcW w:w="1063" w:type="dxa"/>
            <w:shd w:val="clear" w:color="auto" w:fill="auto"/>
            <w:noWrap/>
            <w:vAlign w:val="center"/>
          </w:tcPr>
          <w:p w:rsidR="00C74C66" w:rsidRPr="00C74C66" w:rsidRDefault="00C74C66" w:rsidP="00C74C66"/>
        </w:tc>
        <w:tc>
          <w:tcPr>
            <w:tcW w:w="747" w:type="dxa"/>
            <w:shd w:val="clear" w:color="auto" w:fill="auto"/>
            <w:noWrap/>
            <w:vAlign w:val="center"/>
          </w:tcPr>
          <w:p w:rsidR="00C74C66" w:rsidRPr="00C74C66" w:rsidRDefault="00C74C66" w:rsidP="00C74C66"/>
        </w:tc>
        <w:tc>
          <w:tcPr>
            <w:tcW w:w="1701" w:type="dxa"/>
            <w:shd w:val="clear" w:color="auto" w:fill="auto"/>
            <w:noWrap/>
            <w:vAlign w:val="center"/>
          </w:tcPr>
          <w:p w:rsidR="00C74C66" w:rsidRPr="00C74C66" w:rsidRDefault="00C74C66" w:rsidP="00C74C66"/>
        </w:tc>
        <w:tc>
          <w:tcPr>
            <w:tcW w:w="708" w:type="dxa"/>
            <w:shd w:val="clear" w:color="auto" w:fill="auto"/>
            <w:noWrap/>
            <w:vAlign w:val="center"/>
          </w:tcPr>
          <w:p w:rsidR="00C74C66" w:rsidRPr="00C74C66" w:rsidRDefault="00C74C66" w:rsidP="00C74C66"/>
        </w:tc>
        <w:tc>
          <w:tcPr>
            <w:tcW w:w="1098" w:type="dxa"/>
            <w:shd w:val="clear" w:color="auto" w:fill="auto"/>
            <w:noWrap/>
            <w:vAlign w:val="center"/>
          </w:tcPr>
          <w:p w:rsidR="00C74C66" w:rsidRPr="00C74C66" w:rsidRDefault="00C74C66" w:rsidP="00C74C66"/>
        </w:tc>
        <w:tc>
          <w:tcPr>
            <w:tcW w:w="1064" w:type="dxa"/>
            <w:shd w:val="clear" w:color="auto" w:fill="auto"/>
            <w:noWrap/>
            <w:vAlign w:val="center"/>
          </w:tcPr>
          <w:p w:rsidR="00C74C66" w:rsidRPr="00C74C66" w:rsidRDefault="00C74C66" w:rsidP="00C74C66"/>
        </w:tc>
        <w:tc>
          <w:tcPr>
            <w:tcW w:w="1099" w:type="dxa"/>
            <w:shd w:val="clear" w:color="auto" w:fill="auto"/>
            <w:noWrap/>
            <w:vAlign w:val="center"/>
          </w:tcPr>
          <w:p w:rsidR="00C74C66" w:rsidRPr="00C74C66" w:rsidRDefault="00C74C66" w:rsidP="00C74C66"/>
        </w:tc>
      </w:tr>
      <w:tr w:rsidR="00C74C66" w:rsidRPr="00C74C66" w:rsidTr="002F34D0">
        <w:trPr>
          <w:jc w:val="center"/>
        </w:trPr>
        <w:tc>
          <w:tcPr>
            <w:tcW w:w="1063" w:type="dxa"/>
            <w:shd w:val="clear" w:color="auto" w:fill="auto"/>
            <w:noWrap/>
            <w:vAlign w:val="center"/>
          </w:tcPr>
          <w:p w:rsidR="00C74C66" w:rsidRPr="00C74C66" w:rsidRDefault="00C74C66" w:rsidP="00C74C66">
            <w:pPr>
              <w:rPr>
                <w:color w:val="FFFFFF"/>
              </w:rPr>
            </w:pPr>
          </w:p>
        </w:tc>
        <w:tc>
          <w:tcPr>
            <w:tcW w:w="1063" w:type="dxa"/>
            <w:shd w:val="clear" w:color="auto" w:fill="auto"/>
            <w:noWrap/>
            <w:vAlign w:val="center"/>
          </w:tcPr>
          <w:p w:rsidR="00C74C66" w:rsidRPr="00C74C66" w:rsidRDefault="00C74C66" w:rsidP="00C74C66"/>
        </w:tc>
        <w:tc>
          <w:tcPr>
            <w:tcW w:w="1063" w:type="dxa"/>
            <w:shd w:val="clear" w:color="auto" w:fill="auto"/>
            <w:noWrap/>
            <w:vAlign w:val="center"/>
          </w:tcPr>
          <w:p w:rsidR="00C74C66" w:rsidRPr="00C74C66" w:rsidRDefault="00C74C66" w:rsidP="00C74C66"/>
        </w:tc>
        <w:tc>
          <w:tcPr>
            <w:tcW w:w="747" w:type="dxa"/>
            <w:shd w:val="clear" w:color="auto" w:fill="auto"/>
            <w:noWrap/>
            <w:vAlign w:val="center"/>
          </w:tcPr>
          <w:p w:rsidR="00C74C66" w:rsidRPr="00C74C66" w:rsidRDefault="00C74C66" w:rsidP="00C74C66"/>
        </w:tc>
        <w:tc>
          <w:tcPr>
            <w:tcW w:w="1701" w:type="dxa"/>
            <w:shd w:val="clear" w:color="auto" w:fill="auto"/>
            <w:noWrap/>
            <w:vAlign w:val="center"/>
          </w:tcPr>
          <w:p w:rsidR="00C74C66" w:rsidRPr="00C74C66" w:rsidRDefault="00C74C66" w:rsidP="00C74C66"/>
        </w:tc>
        <w:tc>
          <w:tcPr>
            <w:tcW w:w="708" w:type="dxa"/>
            <w:shd w:val="clear" w:color="auto" w:fill="auto"/>
            <w:noWrap/>
            <w:vAlign w:val="center"/>
          </w:tcPr>
          <w:p w:rsidR="00C74C66" w:rsidRPr="00C74C66" w:rsidRDefault="00C74C66" w:rsidP="00C74C66"/>
        </w:tc>
        <w:tc>
          <w:tcPr>
            <w:tcW w:w="1098" w:type="dxa"/>
            <w:shd w:val="clear" w:color="auto" w:fill="auto"/>
            <w:noWrap/>
            <w:vAlign w:val="center"/>
          </w:tcPr>
          <w:p w:rsidR="00C74C66" w:rsidRPr="00C74C66" w:rsidRDefault="00C74C66" w:rsidP="00C74C66"/>
        </w:tc>
        <w:tc>
          <w:tcPr>
            <w:tcW w:w="1064" w:type="dxa"/>
            <w:shd w:val="clear" w:color="auto" w:fill="auto"/>
            <w:noWrap/>
            <w:vAlign w:val="center"/>
          </w:tcPr>
          <w:p w:rsidR="00C74C66" w:rsidRPr="00C74C66" w:rsidRDefault="00C74C66" w:rsidP="00C74C66"/>
        </w:tc>
        <w:tc>
          <w:tcPr>
            <w:tcW w:w="1099" w:type="dxa"/>
            <w:shd w:val="clear" w:color="auto" w:fill="auto"/>
            <w:noWrap/>
            <w:vAlign w:val="center"/>
          </w:tcPr>
          <w:p w:rsidR="00C74C66" w:rsidRPr="00C74C66" w:rsidRDefault="00C74C66" w:rsidP="00C74C66"/>
        </w:tc>
      </w:tr>
      <w:tr w:rsidR="00C74C66" w:rsidRPr="00C74C66" w:rsidTr="002F34D0">
        <w:trPr>
          <w:jc w:val="center"/>
        </w:trPr>
        <w:tc>
          <w:tcPr>
            <w:tcW w:w="3936" w:type="dxa"/>
            <w:gridSpan w:val="4"/>
            <w:shd w:val="clear" w:color="auto" w:fill="auto"/>
            <w:noWrap/>
            <w:tcMar>
              <w:left w:w="28" w:type="dxa"/>
              <w:right w:w="28" w:type="dxa"/>
            </w:tcMar>
            <w:vAlign w:val="center"/>
          </w:tcPr>
          <w:p w:rsidR="00C74C66" w:rsidRPr="00C74C66" w:rsidRDefault="00C74C66" w:rsidP="00C74C66">
            <w:pPr>
              <w:ind w:right="306"/>
              <w:outlineLvl w:val="4"/>
              <w:rPr>
                <w:iCs/>
                <w:sz w:val="28"/>
                <w:szCs w:val="28"/>
              </w:rPr>
            </w:pPr>
            <w:r w:rsidRPr="00C74C66">
              <w:rPr>
                <w:iCs/>
                <w:sz w:val="28"/>
                <w:szCs w:val="28"/>
              </w:rPr>
              <w:t>Про затвердження звіту</w:t>
            </w:r>
          </w:p>
          <w:p w:rsidR="00C74C66" w:rsidRPr="00C74C66" w:rsidRDefault="00C74C66" w:rsidP="00C74C66">
            <w:pPr>
              <w:ind w:right="306"/>
              <w:outlineLvl w:val="4"/>
              <w:rPr>
                <w:iCs/>
                <w:sz w:val="28"/>
                <w:szCs w:val="28"/>
              </w:rPr>
            </w:pPr>
            <w:r w:rsidRPr="00C74C66">
              <w:rPr>
                <w:iCs/>
                <w:sz w:val="28"/>
                <w:szCs w:val="28"/>
              </w:rPr>
              <w:t>про виконання міського</w:t>
            </w:r>
          </w:p>
          <w:p w:rsidR="00C74C66" w:rsidRPr="00C74C66" w:rsidRDefault="00C74C66" w:rsidP="00C74C66">
            <w:pPr>
              <w:jc w:val="both"/>
              <w:rPr>
                <w:sz w:val="26"/>
                <w:szCs w:val="26"/>
              </w:rPr>
            </w:pPr>
            <w:r w:rsidRPr="00C74C66">
              <w:rPr>
                <w:bCs/>
                <w:sz w:val="28"/>
                <w:szCs w:val="28"/>
              </w:rPr>
              <w:t>бюджету за 2015 рік</w:t>
            </w:r>
          </w:p>
        </w:tc>
        <w:tc>
          <w:tcPr>
            <w:tcW w:w="1701" w:type="dxa"/>
            <w:shd w:val="clear" w:color="auto" w:fill="auto"/>
            <w:noWrap/>
            <w:tcMar>
              <w:left w:w="28" w:type="dxa"/>
              <w:right w:w="28" w:type="dxa"/>
            </w:tcMar>
            <w:vAlign w:val="center"/>
          </w:tcPr>
          <w:p w:rsidR="00C74C66" w:rsidRPr="00C74C66" w:rsidRDefault="00C74C66" w:rsidP="00C74C66">
            <w:pPr>
              <w:rPr>
                <w:sz w:val="28"/>
                <w:szCs w:val="28"/>
              </w:rPr>
            </w:pPr>
          </w:p>
        </w:tc>
        <w:tc>
          <w:tcPr>
            <w:tcW w:w="708" w:type="dxa"/>
            <w:shd w:val="clear" w:color="auto" w:fill="auto"/>
            <w:noWrap/>
            <w:tcMar>
              <w:left w:w="28" w:type="dxa"/>
              <w:right w:w="28" w:type="dxa"/>
            </w:tcMar>
            <w:vAlign w:val="center"/>
          </w:tcPr>
          <w:p w:rsidR="00C74C66" w:rsidRPr="00C74C66" w:rsidRDefault="00C74C66" w:rsidP="00C74C66"/>
        </w:tc>
        <w:tc>
          <w:tcPr>
            <w:tcW w:w="1098" w:type="dxa"/>
            <w:shd w:val="clear" w:color="auto" w:fill="auto"/>
            <w:noWrap/>
            <w:tcMar>
              <w:left w:w="28" w:type="dxa"/>
              <w:right w:w="28" w:type="dxa"/>
            </w:tcMar>
            <w:vAlign w:val="center"/>
          </w:tcPr>
          <w:p w:rsidR="00C74C66" w:rsidRPr="00C74C66" w:rsidRDefault="00C74C66" w:rsidP="00C74C66"/>
        </w:tc>
        <w:tc>
          <w:tcPr>
            <w:tcW w:w="1064" w:type="dxa"/>
            <w:shd w:val="clear" w:color="auto" w:fill="auto"/>
            <w:noWrap/>
            <w:tcMar>
              <w:left w:w="28" w:type="dxa"/>
              <w:right w:w="28" w:type="dxa"/>
            </w:tcMar>
            <w:vAlign w:val="center"/>
          </w:tcPr>
          <w:p w:rsidR="00C74C66" w:rsidRPr="00C74C66" w:rsidRDefault="00C74C66" w:rsidP="00C74C66"/>
        </w:tc>
        <w:tc>
          <w:tcPr>
            <w:tcW w:w="1099" w:type="dxa"/>
            <w:shd w:val="clear" w:color="auto" w:fill="auto"/>
            <w:noWrap/>
            <w:tcMar>
              <w:left w:w="28" w:type="dxa"/>
              <w:right w:w="28" w:type="dxa"/>
            </w:tcMar>
            <w:vAlign w:val="center"/>
          </w:tcPr>
          <w:p w:rsidR="00C74C66" w:rsidRPr="00C74C66" w:rsidRDefault="00C74C66" w:rsidP="00C74C66"/>
        </w:tc>
      </w:tr>
      <w:tr w:rsidR="00C74C66" w:rsidRPr="00C74C66" w:rsidTr="002F34D0">
        <w:trPr>
          <w:jc w:val="center"/>
        </w:trPr>
        <w:tc>
          <w:tcPr>
            <w:tcW w:w="1063" w:type="dxa"/>
            <w:shd w:val="clear" w:color="auto" w:fill="auto"/>
            <w:noWrap/>
            <w:vAlign w:val="center"/>
          </w:tcPr>
          <w:p w:rsidR="00C74C66" w:rsidRPr="00C74C66" w:rsidRDefault="00C74C66" w:rsidP="00C74C66">
            <w:pPr>
              <w:rPr>
                <w:color w:val="FFFFFF"/>
              </w:rPr>
            </w:pPr>
            <w:r w:rsidRPr="00C74C66">
              <w:rPr>
                <w:color w:val="FFFFFF"/>
              </w:rPr>
              <w:t>&gt;</w:t>
            </w:r>
          </w:p>
        </w:tc>
        <w:tc>
          <w:tcPr>
            <w:tcW w:w="1063" w:type="dxa"/>
            <w:shd w:val="clear" w:color="auto" w:fill="auto"/>
            <w:noWrap/>
            <w:vAlign w:val="center"/>
          </w:tcPr>
          <w:p w:rsidR="00C74C66" w:rsidRPr="00C74C66" w:rsidRDefault="00C74C66" w:rsidP="00C74C66"/>
        </w:tc>
        <w:tc>
          <w:tcPr>
            <w:tcW w:w="1063" w:type="dxa"/>
            <w:shd w:val="clear" w:color="auto" w:fill="auto"/>
            <w:noWrap/>
            <w:vAlign w:val="center"/>
          </w:tcPr>
          <w:p w:rsidR="00C74C66" w:rsidRPr="00C74C66" w:rsidRDefault="00C74C66" w:rsidP="00C74C66"/>
        </w:tc>
        <w:tc>
          <w:tcPr>
            <w:tcW w:w="747" w:type="dxa"/>
            <w:shd w:val="clear" w:color="auto" w:fill="auto"/>
            <w:noWrap/>
            <w:vAlign w:val="center"/>
          </w:tcPr>
          <w:p w:rsidR="00C74C66" w:rsidRPr="00C74C66" w:rsidRDefault="00C74C66" w:rsidP="00C74C66">
            <w:pPr>
              <w:rPr>
                <w:sz w:val="28"/>
                <w:szCs w:val="28"/>
              </w:rPr>
            </w:pPr>
          </w:p>
        </w:tc>
        <w:tc>
          <w:tcPr>
            <w:tcW w:w="1701" w:type="dxa"/>
            <w:shd w:val="clear" w:color="auto" w:fill="auto"/>
            <w:noWrap/>
            <w:vAlign w:val="center"/>
          </w:tcPr>
          <w:p w:rsidR="00C74C66" w:rsidRPr="00C74C66" w:rsidRDefault="00C74C66" w:rsidP="00C74C66">
            <w:pPr>
              <w:rPr>
                <w:sz w:val="28"/>
                <w:szCs w:val="28"/>
              </w:rPr>
            </w:pPr>
          </w:p>
        </w:tc>
        <w:tc>
          <w:tcPr>
            <w:tcW w:w="708" w:type="dxa"/>
            <w:shd w:val="clear" w:color="auto" w:fill="auto"/>
            <w:noWrap/>
            <w:vAlign w:val="center"/>
          </w:tcPr>
          <w:p w:rsidR="00C74C66" w:rsidRPr="00C74C66" w:rsidRDefault="00C74C66" w:rsidP="00C74C66"/>
        </w:tc>
        <w:tc>
          <w:tcPr>
            <w:tcW w:w="1098" w:type="dxa"/>
            <w:shd w:val="clear" w:color="auto" w:fill="auto"/>
            <w:noWrap/>
            <w:vAlign w:val="center"/>
          </w:tcPr>
          <w:p w:rsidR="00C74C66" w:rsidRPr="00C74C66" w:rsidRDefault="00C74C66" w:rsidP="00C74C66"/>
        </w:tc>
        <w:tc>
          <w:tcPr>
            <w:tcW w:w="1064" w:type="dxa"/>
            <w:shd w:val="clear" w:color="auto" w:fill="auto"/>
            <w:noWrap/>
            <w:vAlign w:val="center"/>
          </w:tcPr>
          <w:p w:rsidR="00C74C66" w:rsidRPr="00C74C66" w:rsidRDefault="00C74C66" w:rsidP="00C74C66"/>
        </w:tc>
        <w:tc>
          <w:tcPr>
            <w:tcW w:w="1099" w:type="dxa"/>
            <w:shd w:val="clear" w:color="auto" w:fill="auto"/>
            <w:noWrap/>
            <w:vAlign w:val="center"/>
          </w:tcPr>
          <w:p w:rsidR="00C74C66" w:rsidRPr="00C74C66" w:rsidRDefault="00C74C66" w:rsidP="00C74C66"/>
        </w:tc>
      </w:tr>
      <w:tr w:rsidR="00C74C66" w:rsidRPr="00C74C66" w:rsidTr="002F34D0">
        <w:trPr>
          <w:jc w:val="center"/>
        </w:trPr>
        <w:tc>
          <w:tcPr>
            <w:tcW w:w="1063" w:type="dxa"/>
            <w:shd w:val="clear" w:color="auto" w:fill="auto"/>
            <w:noWrap/>
            <w:vAlign w:val="center"/>
          </w:tcPr>
          <w:p w:rsidR="00C74C66" w:rsidRPr="00C74C66" w:rsidRDefault="00C74C66" w:rsidP="00C74C66">
            <w:pPr>
              <w:rPr>
                <w:color w:val="FFFFFF"/>
              </w:rPr>
            </w:pPr>
          </w:p>
        </w:tc>
        <w:tc>
          <w:tcPr>
            <w:tcW w:w="1063" w:type="dxa"/>
            <w:shd w:val="clear" w:color="auto" w:fill="auto"/>
            <w:noWrap/>
            <w:vAlign w:val="center"/>
          </w:tcPr>
          <w:p w:rsidR="00C74C66" w:rsidRPr="00C74C66" w:rsidRDefault="00C74C66" w:rsidP="00C74C66"/>
        </w:tc>
        <w:tc>
          <w:tcPr>
            <w:tcW w:w="1063" w:type="dxa"/>
            <w:shd w:val="clear" w:color="auto" w:fill="auto"/>
            <w:noWrap/>
            <w:vAlign w:val="center"/>
          </w:tcPr>
          <w:p w:rsidR="00C74C66" w:rsidRPr="00C74C66" w:rsidRDefault="00C74C66" w:rsidP="00C74C66"/>
        </w:tc>
        <w:tc>
          <w:tcPr>
            <w:tcW w:w="747" w:type="dxa"/>
            <w:shd w:val="clear" w:color="auto" w:fill="auto"/>
            <w:noWrap/>
            <w:vAlign w:val="center"/>
          </w:tcPr>
          <w:p w:rsidR="00C74C66" w:rsidRPr="00C74C66" w:rsidRDefault="00C74C66" w:rsidP="00C74C66">
            <w:pPr>
              <w:rPr>
                <w:sz w:val="28"/>
                <w:szCs w:val="28"/>
              </w:rPr>
            </w:pPr>
          </w:p>
        </w:tc>
        <w:tc>
          <w:tcPr>
            <w:tcW w:w="1701" w:type="dxa"/>
            <w:shd w:val="clear" w:color="auto" w:fill="auto"/>
            <w:noWrap/>
            <w:vAlign w:val="center"/>
          </w:tcPr>
          <w:p w:rsidR="00C74C66" w:rsidRPr="00C74C66" w:rsidRDefault="00C74C66" w:rsidP="00C74C66">
            <w:pPr>
              <w:rPr>
                <w:sz w:val="28"/>
                <w:szCs w:val="28"/>
              </w:rPr>
            </w:pPr>
          </w:p>
        </w:tc>
        <w:tc>
          <w:tcPr>
            <w:tcW w:w="708" w:type="dxa"/>
            <w:shd w:val="clear" w:color="auto" w:fill="auto"/>
            <w:noWrap/>
            <w:vAlign w:val="center"/>
          </w:tcPr>
          <w:p w:rsidR="00C74C66" w:rsidRPr="00C74C66" w:rsidRDefault="00C74C66" w:rsidP="00C74C66"/>
        </w:tc>
        <w:tc>
          <w:tcPr>
            <w:tcW w:w="1098" w:type="dxa"/>
            <w:shd w:val="clear" w:color="auto" w:fill="auto"/>
            <w:noWrap/>
            <w:vAlign w:val="center"/>
          </w:tcPr>
          <w:p w:rsidR="00C74C66" w:rsidRPr="00C74C66" w:rsidRDefault="00C74C66" w:rsidP="00C74C66"/>
        </w:tc>
        <w:tc>
          <w:tcPr>
            <w:tcW w:w="1064" w:type="dxa"/>
            <w:shd w:val="clear" w:color="auto" w:fill="auto"/>
            <w:noWrap/>
            <w:vAlign w:val="center"/>
          </w:tcPr>
          <w:p w:rsidR="00C74C66" w:rsidRPr="00C74C66" w:rsidRDefault="00C74C66" w:rsidP="00C74C66"/>
        </w:tc>
        <w:tc>
          <w:tcPr>
            <w:tcW w:w="1099" w:type="dxa"/>
            <w:shd w:val="clear" w:color="auto" w:fill="auto"/>
            <w:noWrap/>
            <w:vAlign w:val="center"/>
          </w:tcPr>
          <w:p w:rsidR="00C74C66" w:rsidRPr="00C74C66" w:rsidRDefault="00C74C66" w:rsidP="00C74C66"/>
        </w:tc>
      </w:tr>
      <w:tr w:rsidR="00C74C66" w:rsidRPr="00C74C66" w:rsidTr="002F34D0">
        <w:trPr>
          <w:jc w:val="center"/>
        </w:trPr>
        <w:tc>
          <w:tcPr>
            <w:tcW w:w="9606" w:type="dxa"/>
            <w:gridSpan w:val="9"/>
            <w:shd w:val="clear" w:color="auto" w:fill="auto"/>
            <w:noWrap/>
            <w:vAlign w:val="center"/>
          </w:tcPr>
          <w:p w:rsidR="00C74C66" w:rsidRPr="00C74C66" w:rsidRDefault="00C74C66" w:rsidP="00C74C66">
            <w:pPr>
              <w:ind w:firstLine="486"/>
              <w:jc w:val="both"/>
              <w:rPr>
                <w:sz w:val="28"/>
                <w:szCs w:val="28"/>
              </w:rPr>
            </w:pPr>
            <w:r w:rsidRPr="00C74C66">
              <w:rPr>
                <w:sz w:val="28"/>
                <w:szCs w:val="28"/>
              </w:rPr>
              <w:t>Відповідно до пункту 23 частини 1 статті 26 Закону України «Про місцеве самоврядування в Україні», статті 80 Бюджетного кодексу України, Черкаська міська рада</w:t>
            </w:r>
          </w:p>
          <w:p w:rsidR="00C74C66" w:rsidRPr="00C74C66" w:rsidRDefault="00C74C66" w:rsidP="00C74C66">
            <w:pPr>
              <w:spacing w:before="160"/>
              <w:ind w:right="305" w:firstLine="486"/>
              <w:rPr>
                <w:sz w:val="28"/>
                <w:szCs w:val="28"/>
              </w:rPr>
            </w:pPr>
            <w:r w:rsidRPr="00C74C66">
              <w:rPr>
                <w:sz w:val="28"/>
                <w:szCs w:val="28"/>
              </w:rPr>
              <w:t>ВИРІШИЛА:</w:t>
            </w:r>
          </w:p>
          <w:p w:rsidR="00C74C66" w:rsidRPr="00C74C66" w:rsidRDefault="00C74C66" w:rsidP="00C74C66">
            <w:pPr>
              <w:ind w:right="306" w:firstLine="488"/>
              <w:rPr>
                <w:sz w:val="28"/>
                <w:szCs w:val="28"/>
              </w:rPr>
            </w:pPr>
            <w:r w:rsidRPr="00C74C66">
              <w:rPr>
                <w:sz w:val="28"/>
                <w:szCs w:val="28"/>
              </w:rPr>
              <w:t xml:space="preserve">1. Затвердити </w:t>
            </w:r>
            <w:r w:rsidRPr="00C74C66">
              <w:rPr>
                <w:sz w:val="28"/>
                <w:szCs w:val="28"/>
                <w:lang w:val="x-none"/>
              </w:rPr>
              <w:t xml:space="preserve">звіт про виконання міського бюджету за </w:t>
            </w:r>
            <w:r w:rsidRPr="00C74C66">
              <w:rPr>
                <w:sz w:val="28"/>
                <w:szCs w:val="28"/>
              </w:rPr>
              <w:t>2</w:t>
            </w:r>
            <w:r w:rsidRPr="00C74C66">
              <w:rPr>
                <w:bCs/>
                <w:sz w:val="28"/>
                <w:szCs w:val="28"/>
                <w:lang w:val="x-none"/>
              </w:rPr>
              <w:t>015</w:t>
            </w:r>
            <w:r w:rsidRPr="00C74C66">
              <w:rPr>
                <w:sz w:val="28"/>
                <w:szCs w:val="28"/>
                <w:lang w:val="x-none"/>
              </w:rPr>
              <w:t xml:space="preserve"> р</w:t>
            </w:r>
            <w:r w:rsidRPr="00C74C66">
              <w:rPr>
                <w:sz w:val="28"/>
                <w:szCs w:val="28"/>
              </w:rPr>
              <w:t>і</w:t>
            </w:r>
            <w:r w:rsidRPr="00C74C66">
              <w:rPr>
                <w:sz w:val="28"/>
                <w:szCs w:val="28"/>
                <w:lang w:val="x-none"/>
              </w:rPr>
              <w:t>к</w:t>
            </w:r>
            <w:r w:rsidRPr="00C74C66">
              <w:rPr>
                <w:sz w:val="28"/>
                <w:szCs w:val="28"/>
              </w:rPr>
              <w:t>, зокрема:</w:t>
            </w:r>
          </w:p>
          <w:p w:rsidR="00C74C66" w:rsidRPr="00C74C66" w:rsidRDefault="00C74C66" w:rsidP="00C74C66">
            <w:pPr>
              <w:ind w:firstLine="488"/>
              <w:rPr>
                <w:sz w:val="28"/>
                <w:szCs w:val="28"/>
                <w:lang w:eastAsia="uk-UA"/>
              </w:rPr>
            </w:pPr>
            <w:r w:rsidRPr="00C74C66">
              <w:rPr>
                <w:sz w:val="28"/>
                <w:szCs w:val="28"/>
                <w:lang w:eastAsia="uk-UA"/>
              </w:rPr>
              <w:t xml:space="preserve">1.1. Звіт про фінансовий стан (баланс) міського бюджету станом на 01.01.2016 згідно з додатком 1; </w:t>
            </w:r>
          </w:p>
          <w:p w:rsidR="00C74C66" w:rsidRPr="00C74C66" w:rsidRDefault="00C74C66" w:rsidP="00C74C66">
            <w:pPr>
              <w:ind w:firstLine="488"/>
              <w:rPr>
                <w:sz w:val="28"/>
                <w:szCs w:val="28"/>
                <w:lang w:eastAsia="uk-UA"/>
              </w:rPr>
            </w:pPr>
            <w:r w:rsidRPr="00C74C66">
              <w:rPr>
                <w:sz w:val="28"/>
                <w:szCs w:val="28"/>
                <w:lang w:eastAsia="uk-UA"/>
              </w:rPr>
              <w:t>1.2. Довідку про виконання міського бюджету станом на 01.01.2016 згідно з додатком 2;</w:t>
            </w:r>
          </w:p>
          <w:p w:rsidR="00C74C66" w:rsidRPr="00C74C66" w:rsidRDefault="00C74C66" w:rsidP="00C74C66">
            <w:pPr>
              <w:ind w:firstLine="488"/>
              <w:rPr>
                <w:sz w:val="28"/>
                <w:szCs w:val="28"/>
                <w:lang w:eastAsia="uk-UA"/>
              </w:rPr>
            </w:pPr>
            <w:r w:rsidRPr="00C74C66">
              <w:rPr>
                <w:sz w:val="28"/>
                <w:szCs w:val="28"/>
                <w:lang w:eastAsia="uk-UA"/>
              </w:rPr>
              <w:t>1.3. Звіт про виконання доходної частини міського бюджету за 2015 рік згідно з додатком 3;</w:t>
            </w:r>
          </w:p>
          <w:p w:rsidR="00C74C66" w:rsidRPr="00C74C66" w:rsidRDefault="00C74C66" w:rsidP="00C74C66">
            <w:pPr>
              <w:ind w:firstLine="488"/>
              <w:rPr>
                <w:sz w:val="28"/>
                <w:szCs w:val="28"/>
                <w:lang w:eastAsia="uk-UA"/>
              </w:rPr>
            </w:pPr>
            <w:r w:rsidRPr="00C74C66">
              <w:rPr>
                <w:sz w:val="28"/>
                <w:szCs w:val="28"/>
                <w:lang w:eastAsia="uk-UA"/>
              </w:rPr>
              <w:t>1.4. Звіт про фінансування міського бюджету за 2015 рік згідно з додатком 4;</w:t>
            </w:r>
          </w:p>
          <w:p w:rsidR="00C74C66" w:rsidRPr="00C74C66" w:rsidRDefault="00C74C66" w:rsidP="00C74C66">
            <w:pPr>
              <w:ind w:firstLine="488"/>
              <w:rPr>
                <w:sz w:val="28"/>
                <w:szCs w:val="28"/>
                <w:lang w:eastAsia="uk-UA"/>
              </w:rPr>
            </w:pPr>
            <w:r w:rsidRPr="00C74C66">
              <w:rPr>
                <w:sz w:val="28"/>
                <w:szCs w:val="28"/>
                <w:lang w:eastAsia="uk-UA"/>
              </w:rPr>
              <w:t>1.5. Звіт про виконання видаткової частини міського бюджету за 2015 рік згідно з додатком 5;</w:t>
            </w:r>
          </w:p>
          <w:p w:rsidR="00C74C66" w:rsidRPr="00C74C66" w:rsidRDefault="00C74C66" w:rsidP="00C74C66">
            <w:pPr>
              <w:ind w:firstLine="488"/>
              <w:rPr>
                <w:sz w:val="28"/>
                <w:szCs w:val="28"/>
                <w:lang w:eastAsia="uk-UA"/>
              </w:rPr>
            </w:pPr>
            <w:r w:rsidRPr="00C74C66">
              <w:rPr>
                <w:sz w:val="28"/>
                <w:szCs w:val="28"/>
                <w:lang w:eastAsia="uk-UA"/>
              </w:rPr>
              <w:t>1.6. Звіт про виконання повернення кредитів до міського бюджету та розподіл надання кредитів з міського бюджету за 2015 рік згідно з додатком 6;</w:t>
            </w:r>
          </w:p>
          <w:p w:rsidR="00C74C66" w:rsidRPr="00C74C66" w:rsidRDefault="00C74C66" w:rsidP="00C74C66">
            <w:pPr>
              <w:ind w:firstLine="488"/>
              <w:rPr>
                <w:sz w:val="28"/>
                <w:szCs w:val="28"/>
                <w:lang w:eastAsia="uk-UA"/>
              </w:rPr>
            </w:pPr>
            <w:r w:rsidRPr="00C74C66">
              <w:rPr>
                <w:sz w:val="28"/>
                <w:szCs w:val="28"/>
                <w:lang w:eastAsia="uk-UA"/>
              </w:rPr>
              <w:t>1.7. Інформацію про здійснення операцій з управління місцевим боргом за  2015 рік згідно з додатком 7;</w:t>
            </w:r>
          </w:p>
          <w:p w:rsidR="00C74C66" w:rsidRPr="00C74C66" w:rsidRDefault="00C74C66" w:rsidP="00C74C66">
            <w:pPr>
              <w:ind w:firstLine="488"/>
              <w:rPr>
                <w:sz w:val="28"/>
                <w:szCs w:val="28"/>
                <w:lang w:eastAsia="uk-UA"/>
              </w:rPr>
            </w:pPr>
            <w:r w:rsidRPr="00C74C66">
              <w:rPr>
                <w:sz w:val="28"/>
                <w:szCs w:val="28"/>
                <w:lang w:eastAsia="uk-UA"/>
              </w:rPr>
              <w:t>1.8. Інформацію про стан міського боргу станом на 01.01.2016 згідно з додатком 8;</w:t>
            </w:r>
          </w:p>
          <w:p w:rsidR="00C74C66" w:rsidRPr="00C74C66" w:rsidRDefault="00C74C66" w:rsidP="00C74C66">
            <w:pPr>
              <w:ind w:firstLine="488"/>
              <w:rPr>
                <w:sz w:val="28"/>
                <w:szCs w:val="28"/>
                <w:lang w:eastAsia="uk-UA"/>
              </w:rPr>
            </w:pPr>
            <w:r w:rsidRPr="00C74C66">
              <w:rPr>
                <w:sz w:val="28"/>
                <w:szCs w:val="28"/>
                <w:lang w:eastAsia="uk-UA"/>
              </w:rPr>
              <w:t>1.9. Інформацію про стан гарантованого боргу станом на 01 січня 2016 року згідно з додатком 9;</w:t>
            </w:r>
          </w:p>
          <w:p w:rsidR="00C74C66" w:rsidRPr="00C74C66" w:rsidRDefault="00C74C66" w:rsidP="00C74C66">
            <w:pPr>
              <w:ind w:firstLine="486"/>
              <w:jc w:val="both"/>
              <w:rPr>
                <w:sz w:val="28"/>
                <w:szCs w:val="28"/>
                <w:lang w:val="ru-RU"/>
              </w:rPr>
            </w:pPr>
            <w:r w:rsidRPr="00C74C66">
              <w:rPr>
                <w:sz w:val="28"/>
                <w:szCs w:val="28"/>
                <w:lang w:val="ru-RU"/>
              </w:rPr>
              <w:t>1.10. Інформацію про використання коштів міського бюджету (пояснюючої до звіту про виконання міського бюджету м. Черкаси за 201</w:t>
            </w:r>
            <w:r w:rsidRPr="00C74C66">
              <w:rPr>
                <w:sz w:val="28"/>
                <w:szCs w:val="28"/>
              </w:rPr>
              <w:t>5</w:t>
            </w:r>
            <w:r w:rsidRPr="00C74C66">
              <w:rPr>
                <w:sz w:val="28"/>
                <w:szCs w:val="28"/>
                <w:lang w:val="ru-RU"/>
              </w:rPr>
              <w:t xml:space="preserve"> р</w:t>
            </w:r>
            <w:r w:rsidRPr="00C74C66">
              <w:rPr>
                <w:sz w:val="28"/>
                <w:szCs w:val="28"/>
              </w:rPr>
              <w:t>і</w:t>
            </w:r>
            <w:r w:rsidRPr="00C74C66">
              <w:rPr>
                <w:sz w:val="28"/>
                <w:szCs w:val="28"/>
                <w:lang w:val="ru-RU"/>
              </w:rPr>
              <w:t>к) згідно з додатком 10.</w:t>
            </w:r>
          </w:p>
          <w:p w:rsidR="00C74C66" w:rsidRPr="00C74C66" w:rsidRDefault="00C74C66" w:rsidP="00C74C66">
            <w:pPr>
              <w:spacing w:before="60" w:after="120"/>
              <w:ind w:right="-18" w:firstLine="486"/>
              <w:jc w:val="both"/>
              <w:rPr>
                <w:sz w:val="28"/>
                <w:szCs w:val="28"/>
                <w:lang w:eastAsia="uk-UA"/>
              </w:rPr>
            </w:pPr>
            <w:r w:rsidRPr="00C74C66">
              <w:rPr>
                <w:sz w:val="28"/>
                <w:szCs w:val="28"/>
                <w:lang w:eastAsia="uk-UA"/>
              </w:rPr>
              <w:t>2. Департаменту організаційного забезпечення Черкаської міської ради опублікувати дане рішення в інформаційному віснику «Місто», або в інших регіональних друкованих засобах масової інформації та на офіційному сайті міської ради (</w:t>
            </w:r>
            <w:hyperlink r:id="rId9" w:history="1">
              <w:r w:rsidRPr="00C74C66">
                <w:rPr>
                  <w:sz w:val="28"/>
                  <w:szCs w:val="28"/>
                  <w:lang w:eastAsia="uk-UA"/>
                </w:rPr>
                <w:t>http://www.rada.cherkasy.ua/ua</w:t>
              </w:r>
            </w:hyperlink>
            <w:r w:rsidRPr="00C74C66">
              <w:rPr>
                <w:sz w:val="28"/>
                <w:szCs w:val="28"/>
                <w:lang w:eastAsia="uk-UA"/>
              </w:rPr>
              <w:t>) не пізніше ніж у десятиденний строк з дня його прийняття.</w:t>
            </w:r>
          </w:p>
          <w:p w:rsidR="00C74C66" w:rsidRPr="00C74C66" w:rsidRDefault="00C74C66" w:rsidP="00C74C66">
            <w:pPr>
              <w:tabs>
                <w:tab w:val="left" w:pos="-3828"/>
                <w:tab w:val="left" w:pos="-2835"/>
              </w:tabs>
              <w:spacing w:before="160"/>
              <w:ind w:firstLine="486"/>
              <w:jc w:val="both"/>
              <w:rPr>
                <w:color w:val="000000"/>
                <w:spacing w:val="7"/>
                <w:sz w:val="28"/>
                <w:szCs w:val="28"/>
              </w:rPr>
            </w:pPr>
            <w:r w:rsidRPr="00C74C66">
              <w:rPr>
                <w:sz w:val="28"/>
                <w:szCs w:val="28"/>
              </w:rPr>
              <w:t xml:space="preserve">3. Контроль за виконанням рішення покласти на постійну комісію міської </w:t>
            </w:r>
            <w:r w:rsidRPr="00C74C66">
              <w:rPr>
                <w:sz w:val="28"/>
                <w:szCs w:val="28"/>
              </w:rPr>
              <w:lastRenderedPageBreak/>
              <w:t xml:space="preserve">ради з питань економічного розвитку, інвестиційної політики, дерегуляції, бюджету, фінансів, тарифів та регуляторної політики </w:t>
            </w:r>
            <w:r w:rsidRPr="00C74C66">
              <w:rPr>
                <w:color w:val="000000"/>
                <w:sz w:val="28"/>
                <w:szCs w:val="28"/>
              </w:rPr>
              <w:t>(Тренкін Ю.В.)</w:t>
            </w:r>
            <w:r w:rsidRPr="00C74C66">
              <w:rPr>
                <w:sz w:val="28"/>
                <w:szCs w:val="28"/>
              </w:rPr>
              <w:t xml:space="preserve"> та міського голову Бондаренко А.В</w:t>
            </w:r>
          </w:p>
        </w:tc>
      </w:tr>
      <w:tr w:rsidR="00C74C66" w:rsidRPr="00C74C66" w:rsidTr="002F34D0">
        <w:trPr>
          <w:jc w:val="center"/>
        </w:trPr>
        <w:tc>
          <w:tcPr>
            <w:tcW w:w="1063" w:type="dxa"/>
            <w:shd w:val="clear" w:color="auto" w:fill="auto"/>
            <w:noWrap/>
            <w:vAlign w:val="center"/>
          </w:tcPr>
          <w:p w:rsidR="00C74C66" w:rsidRPr="00C74C66" w:rsidRDefault="00C74C66" w:rsidP="00C74C66"/>
        </w:tc>
        <w:tc>
          <w:tcPr>
            <w:tcW w:w="1063" w:type="dxa"/>
            <w:shd w:val="clear" w:color="auto" w:fill="auto"/>
            <w:noWrap/>
            <w:vAlign w:val="center"/>
          </w:tcPr>
          <w:p w:rsidR="00C74C66" w:rsidRPr="00C74C66" w:rsidRDefault="00C74C66" w:rsidP="00C74C66"/>
        </w:tc>
        <w:tc>
          <w:tcPr>
            <w:tcW w:w="1063" w:type="dxa"/>
            <w:shd w:val="clear" w:color="auto" w:fill="auto"/>
            <w:noWrap/>
            <w:vAlign w:val="center"/>
          </w:tcPr>
          <w:p w:rsidR="00C74C66" w:rsidRPr="00C74C66" w:rsidRDefault="00C74C66" w:rsidP="00C74C66"/>
        </w:tc>
        <w:tc>
          <w:tcPr>
            <w:tcW w:w="747" w:type="dxa"/>
            <w:shd w:val="clear" w:color="auto" w:fill="auto"/>
            <w:noWrap/>
            <w:vAlign w:val="center"/>
          </w:tcPr>
          <w:p w:rsidR="00C74C66" w:rsidRPr="00C74C66" w:rsidRDefault="00C74C66" w:rsidP="00C74C66"/>
        </w:tc>
        <w:tc>
          <w:tcPr>
            <w:tcW w:w="1701" w:type="dxa"/>
            <w:shd w:val="clear" w:color="auto" w:fill="auto"/>
            <w:noWrap/>
            <w:vAlign w:val="center"/>
          </w:tcPr>
          <w:p w:rsidR="00C74C66" w:rsidRPr="00C74C66" w:rsidRDefault="00C74C66" w:rsidP="00C74C66"/>
        </w:tc>
        <w:tc>
          <w:tcPr>
            <w:tcW w:w="708" w:type="dxa"/>
            <w:shd w:val="clear" w:color="auto" w:fill="auto"/>
            <w:noWrap/>
            <w:vAlign w:val="center"/>
          </w:tcPr>
          <w:p w:rsidR="00C74C66" w:rsidRPr="00C74C66" w:rsidRDefault="00C74C66" w:rsidP="00C74C66"/>
        </w:tc>
        <w:tc>
          <w:tcPr>
            <w:tcW w:w="1098" w:type="dxa"/>
            <w:shd w:val="clear" w:color="auto" w:fill="auto"/>
            <w:noWrap/>
            <w:vAlign w:val="center"/>
          </w:tcPr>
          <w:p w:rsidR="00C74C66" w:rsidRPr="00C74C66" w:rsidRDefault="00C74C66" w:rsidP="00C74C66"/>
        </w:tc>
        <w:tc>
          <w:tcPr>
            <w:tcW w:w="1064" w:type="dxa"/>
            <w:shd w:val="clear" w:color="auto" w:fill="auto"/>
            <w:noWrap/>
            <w:vAlign w:val="center"/>
          </w:tcPr>
          <w:p w:rsidR="00C74C66" w:rsidRPr="00C74C66" w:rsidRDefault="00C74C66" w:rsidP="00C74C66">
            <w:pPr>
              <w:rPr>
                <w:sz w:val="28"/>
                <w:szCs w:val="28"/>
              </w:rPr>
            </w:pPr>
          </w:p>
        </w:tc>
        <w:tc>
          <w:tcPr>
            <w:tcW w:w="1099" w:type="dxa"/>
            <w:shd w:val="clear" w:color="auto" w:fill="auto"/>
            <w:noWrap/>
            <w:vAlign w:val="center"/>
          </w:tcPr>
          <w:p w:rsidR="00C74C66" w:rsidRPr="00C74C66" w:rsidRDefault="00C74C66" w:rsidP="00C74C66">
            <w:pPr>
              <w:rPr>
                <w:sz w:val="28"/>
                <w:szCs w:val="28"/>
              </w:rPr>
            </w:pPr>
          </w:p>
        </w:tc>
      </w:tr>
      <w:tr w:rsidR="00C74C66" w:rsidRPr="00C74C66" w:rsidTr="002F34D0">
        <w:trPr>
          <w:jc w:val="center"/>
        </w:trPr>
        <w:tc>
          <w:tcPr>
            <w:tcW w:w="1063" w:type="dxa"/>
            <w:shd w:val="clear" w:color="auto" w:fill="auto"/>
            <w:noWrap/>
            <w:vAlign w:val="center"/>
          </w:tcPr>
          <w:p w:rsidR="00C74C66" w:rsidRPr="00C74C66" w:rsidRDefault="00C74C66" w:rsidP="00C74C66"/>
        </w:tc>
        <w:tc>
          <w:tcPr>
            <w:tcW w:w="1063" w:type="dxa"/>
            <w:shd w:val="clear" w:color="auto" w:fill="auto"/>
            <w:noWrap/>
            <w:vAlign w:val="center"/>
          </w:tcPr>
          <w:p w:rsidR="00C74C66" w:rsidRPr="00C74C66" w:rsidRDefault="00C74C66" w:rsidP="00C74C66"/>
        </w:tc>
        <w:tc>
          <w:tcPr>
            <w:tcW w:w="1063" w:type="dxa"/>
            <w:shd w:val="clear" w:color="auto" w:fill="auto"/>
            <w:noWrap/>
            <w:vAlign w:val="center"/>
          </w:tcPr>
          <w:p w:rsidR="00C74C66" w:rsidRPr="00C74C66" w:rsidRDefault="00C74C66" w:rsidP="00C74C66"/>
        </w:tc>
        <w:tc>
          <w:tcPr>
            <w:tcW w:w="747" w:type="dxa"/>
            <w:shd w:val="clear" w:color="auto" w:fill="auto"/>
            <w:noWrap/>
            <w:vAlign w:val="center"/>
          </w:tcPr>
          <w:p w:rsidR="00C74C66" w:rsidRPr="00C74C66" w:rsidRDefault="00C74C66" w:rsidP="00C74C66"/>
        </w:tc>
        <w:tc>
          <w:tcPr>
            <w:tcW w:w="1701" w:type="dxa"/>
            <w:shd w:val="clear" w:color="auto" w:fill="auto"/>
            <w:noWrap/>
            <w:vAlign w:val="center"/>
          </w:tcPr>
          <w:p w:rsidR="00C74C66" w:rsidRPr="00C74C66" w:rsidRDefault="00C74C66" w:rsidP="00C74C66"/>
        </w:tc>
        <w:tc>
          <w:tcPr>
            <w:tcW w:w="708" w:type="dxa"/>
            <w:shd w:val="clear" w:color="auto" w:fill="auto"/>
            <w:noWrap/>
            <w:vAlign w:val="center"/>
          </w:tcPr>
          <w:p w:rsidR="00C74C66" w:rsidRPr="00C74C66" w:rsidRDefault="00C74C66" w:rsidP="00C74C66"/>
        </w:tc>
        <w:tc>
          <w:tcPr>
            <w:tcW w:w="1098" w:type="dxa"/>
            <w:shd w:val="clear" w:color="auto" w:fill="auto"/>
            <w:noWrap/>
            <w:vAlign w:val="center"/>
          </w:tcPr>
          <w:p w:rsidR="00C74C66" w:rsidRPr="00C74C66" w:rsidRDefault="00C74C66" w:rsidP="00C74C66"/>
        </w:tc>
        <w:tc>
          <w:tcPr>
            <w:tcW w:w="1064" w:type="dxa"/>
            <w:shd w:val="clear" w:color="auto" w:fill="auto"/>
            <w:noWrap/>
            <w:vAlign w:val="center"/>
          </w:tcPr>
          <w:p w:rsidR="00C74C66" w:rsidRPr="00C74C66" w:rsidRDefault="00C74C66" w:rsidP="00C74C66">
            <w:pPr>
              <w:rPr>
                <w:sz w:val="28"/>
                <w:szCs w:val="28"/>
              </w:rPr>
            </w:pPr>
          </w:p>
        </w:tc>
        <w:tc>
          <w:tcPr>
            <w:tcW w:w="1099" w:type="dxa"/>
            <w:shd w:val="clear" w:color="auto" w:fill="auto"/>
            <w:noWrap/>
            <w:vAlign w:val="center"/>
          </w:tcPr>
          <w:p w:rsidR="00C74C66" w:rsidRPr="00C74C66" w:rsidRDefault="00C74C66" w:rsidP="00C74C66">
            <w:pPr>
              <w:rPr>
                <w:sz w:val="28"/>
                <w:szCs w:val="28"/>
              </w:rPr>
            </w:pPr>
          </w:p>
        </w:tc>
      </w:tr>
      <w:tr w:rsidR="00C74C66" w:rsidRPr="00C74C66" w:rsidTr="002F34D0">
        <w:trPr>
          <w:jc w:val="center"/>
        </w:trPr>
        <w:tc>
          <w:tcPr>
            <w:tcW w:w="3189" w:type="dxa"/>
            <w:gridSpan w:val="3"/>
            <w:shd w:val="clear" w:color="auto" w:fill="auto"/>
            <w:noWrap/>
            <w:vAlign w:val="center"/>
          </w:tcPr>
          <w:p w:rsidR="00C74C66" w:rsidRPr="00C74C66" w:rsidRDefault="00C74C66" w:rsidP="00C74C66">
            <w:r w:rsidRPr="00C74C66">
              <w:rPr>
                <w:b/>
                <w:sz w:val="28"/>
              </w:rPr>
              <w:t>Міський голова</w:t>
            </w:r>
          </w:p>
        </w:tc>
        <w:tc>
          <w:tcPr>
            <w:tcW w:w="747" w:type="dxa"/>
            <w:shd w:val="clear" w:color="auto" w:fill="auto"/>
            <w:noWrap/>
            <w:vAlign w:val="center"/>
          </w:tcPr>
          <w:p w:rsidR="00C74C66" w:rsidRPr="00C74C66" w:rsidRDefault="00C74C66" w:rsidP="00C74C66"/>
        </w:tc>
        <w:tc>
          <w:tcPr>
            <w:tcW w:w="1701" w:type="dxa"/>
            <w:shd w:val="clear" w:color="auto" w:fill="auto"/>
            <w:noWrap/>
            <w:vAlign w:val="center"/>
          </w:tcPr>
          <w:p w:rsidR="00C74C66" w:rsidRPr="00C74C66" w:rsidRDefault="00C74C66" w:rsidP="00C74C66"/>
        </w:tc>
        <w:tc>
          <w:tcPr>
            <w:tcW w:w="708" w:type="dxa"/>
            <w:shd w:val="clear" w:color="auto" w:fill="auto"/>
            <w:noWrap/>
            <w:vAlign w:val="center"/>
          </w:tcPr>
          <w:p w:rsidR="00C74C66" w:rsidRPr="00C74C66" w:rsidRDefault="00C74C66" w:rsidP="00C74C66"/>
        </w:tc>
        <w:tc>
          <w:tcPr>
            <w:tcW w:w="1098" w:type="dxa"/>
            <w:shd w:val="clear" w:color="auto" w:fill="auto"/>
            <w:noWrap/>
            <w:vAlign w:val="center"/>
          </w:tcPr>
          <w:p w:rsidR="00C74C66" w:rsidRPr="00C74C66" w:rsidRDefault="00C74C66" w:rsidP="00C74C66"/>
        </w:tc>
        <w:tc>
          <w:tcPr>
            <w:tcW w:w="2163" w:type="dxa"/>
            <w:gridSpan w:val="2"/>
            <w:shd w:val="clear" w:color="auto" w:fill="auto"/>
            <w:noWrap/>
            <w:vAlign w:val="center"/>
          </w:tcPr>
          <w:p w:rsidR="00C74C66" w:rsidRPr="00C74C66" w:rsidRDefault="00C74C66" w:rsidP="00C74C66">
            <w:pPr>
              <w:jc w:val="right"/>
              <w:rPr>
                <w:sz w:val="28"/>
                <w:szCs w:val="28"/>
              </w:rPr>
            </w:pPr>
            <w:r w:rsidRPr="00C74C66">
              <w:rPr>
                <w:b/>
                <w:sz w:val="28"/>
                <w:szCs w:val="28"/>
              </w:rPr>
              <w:t>А.В. Бондаренко</w:t>
            </w:r>
          </w:p>
        </w:tc>
      </w:tr>
      <w:tr w:rsidR="00C74C66" w:rsidRPr="00C74C66" w:rsidTr="002F34D0">
        <w:trPr>
          <w:jc w:val="center"/>
        </w:trPr>
        <w:tc>
          <w:tcPr>
            <w:tcW w:w="3189" w:type="dxa"/>
            <w:gridSpan w:val="3"/>
            <w:shd w:val="clear" w:color="auto" w:fill="auto"/>
            <w:noWrap/>
            <w:vAlign w:val="center"/>
          </w:tcPr>
          <w:p w:rsidR="00C74C66" w:rsidRPr="00C74C66" w:rsidRDefault="00C74C66" w:rsidP="00C74C66">
            <w:pPr>
              <w:rPr>
                <w:b/>
                <w:sz w:val="28"/>
              </w:rPr>
            </w:pPr>
          </w:p>
        </w:tc>
        <w:tc>
          <w:tcPr>
            <w:tcW w:w="747" w:type="dxa"/>
            <w:shd w:val="clear" w:color="auto" w:fill="auto"/>
            <w:noWrap/>
            <w:vAlign w:val="center"/>
          </w:tcPr>
          <w:p w:rsidR="00C74C66" w:rsidRPr="00C74C66" w:rsidRDefault="00C74C66" w:rsidP="00C74C66"/>
        </w:tc>
        <w:tc>
          <w:tcPr>
            <w:tcW w:w="1701" w:type="dxa"/>
            <w:shd w:val="clear" w:color="auto" w:fill="auto"/>
            <w:noWrap/>
            <w:vAlign w:val="center"/>
          </w:tcPr>
          <w:p w:rsidR="00C74C66" w:rsidRPr="00C74C66" w:rsidRDefault="00C74C66" w:rsidP="00C74C66"/>
        </w:tc>
        <w:tc>
          <w:tcPr>
            <w:tcW w:w="708" w:type="dxa"/>
            <w:shd w:val="clear" w:color="auto" w:fill="auto"/>
            <w:noWrap/>
            <w:vAlign w:val="center"/>
          </w:tcPr>
          <w:p w:rsidR="00C74C66" w:rsidRPr="00C74C66" w:rsidRDefault="00C74C66" w:rsidP="00C74C66"/>
        </w:tc>
        <w:tc>
          <w:tcPr>
            <w:tcW w:w="1098" w:type="dxa"/>
            <w:shd w:val="clear" w:color="auto" w:fill="auto"/>
            <w:noWrap/>
            <w:vAlign w:val="center"/>
          </w:tcPr>
          <w:p w:rsidR="00C74C66" w:rsidRPr="00C74C66" w:rsidRDefault="00C74C66" w:rsidP="00C74C66"/>
        </w:tc>
        <w:tc>
          <w:tcPr>
            <w:tcW w:w="2163" w:type="dxa"/>
            <w:gridSpan w:val="2"/>
            <w:shd w:val="clear" w:color="auto" w:fill="auto"/>
            <w:noWrap/>
            <w:vAlign w:val="center"/>
          </w:tcPr>
          <w:p w:rsidR="00C74C66" w:rsidRPr="00C74C66" w:rsidRDefault="00C74C66" w:rsidP="00C74C66">
            <w:pPr>
              <w:jc w:val="right"/>
              <w:rPr>
                <w:b/>
                <w:sz w:val="28"/>
              </w:rPr>
            </w:pPr>
          </w:p>
        </w:tc>
      </w:tr>
    </w:tbl>
    <w:p w:rsidR="00C74C66" w:rsidRDefault="00C74C66" w:rsidP="007B497D">
      <w:pPr>
        <w:ind w:firstLine="708"/>
        <w:jc w:val="both"/>
        <w:rPr>
          <w:sz w:val="28"/>
        </w:rPr>
      </w:pPr>
    </w:p>
    <w:p w:rsidR="00C74C66" w:rsidRPr="00C74C66" w:rsidRDefault="00C74C66" w:rsidP="00C74C66">
      <w:pPr>
        <w:pStyle w:val="4"/>
        <w:ind w:firstLine="6120"/>
        <w:jc w:val="left"/>
        <w:rPr>
          <w:b/>
          <w:sz w:val="22"/>
          <w:szCs w:val="22"/>
          <w:lang w:val="ru-RU"/>
        </w:rPr>
      </w:pPr>
      <w:r>
        <w:br w:type="column"/>
      </w:r>
      <w:r w:rsidRPr="00C74C66">
        <w:rPr>
          <w:b/>
          <w:sz w:val="22"/>
          <w:szCs w:val="22"/>
        </w:rPr>
        <w:lastRenderedPageBreak/>
        <w:t xml:space="preserve">Додаток  </w:t>
      </w:r>
      <w:r w:rsidRPr="00C74C66">
        <w:rPr>
          <w:b/>
          <w:sz w:val="22"/>
          <w:szCs w:val="22"/>
          <w:lang w:val="ru-RU"/>
        </w:rPr>
        <w:t>10</w:t>
      </w:r>
    </w:p>
    <w:p w:rsidR="00C74C66" w:rsidRPr="00C74C66" w:rsidRDefault="00C74C66" w:rsidP="00C74C66">
      <w:pPr>
        <w:ind w:firstLine="6120"/>
        <w:rPr>
          <w:sz w:val="22"/>
          <w:szCs w:val="22"/>
        </w:rPr>
      </w:pPr>
      <w:r w:rsidRPr="00C74C66">
        <w:rPr>
          <w:sz w:val="22"/>
          <w:szCs w:val="22"/>
        </w:rPr>
        <w:t>до рішення міської ради</w:t>
      </w:r>
    </w:p>
    <w:p w:rsidR="00C74C66" w:rsidRPr="00C74C66" w:rsidRDefault="00C74C66" w:rsidP="00C74C66">
      <w:pPr>
        <w:ind w:firstLine="6120"/>
        <w:rPr>
          <w:i/>
          <w:iCs/>
          <w:sz w:val="22"/>
          <w:szCs w:val="22"/>
        </w:rPr>
      </w:pPr>
      <w:r w:rsidRPr="00C74C66">
        <w:rPr>
          <w:sz w:val="22"/>
          <w:szCs w:val="22"/>
        </w:rPr>
        <w:t>від __________№_____</w:t>
      </w:r>
    </w:p>
    <w:p w:rsidR="00C74C66" w:rsidRPr="00C74C66" w:rsidRDefault="00C74C66" w:rsidP="00C74C66">
      <w:pPr>
        <w:keepNext/>
        <w:ind w:firstLine="6120"/>
        <w:jc w:val="center"/>
        <w:outlineLvl w:val="7"/>
        <w:rPr>
          <w:bCs/>
          <w:sz w:val="22"/>
          <w:szCs w:val="22"/>
        </w:rPr>
      </w:pPr>
    </w:p>
    <w:p w:rsidR="00C74C66" w:rsidRPr="00C74C66" w:rsidRDefault="00C74C66" w:rsidP="00C74C66">
      <w:pPr>
        <w:keepNext/>
        <w:jc w:val="center"/>
        <w:outlineLvl w:val="7"/>
        <w:rPr>
          <w:b/>
          <w:bCs/>
        </w:rPr>
      </w:pPr>
      <w:r w:rsidRPr="00C74C66">
        <w:rPr>
          <w:b/>
          <w:bCs/>
        </w:rPr>
        <w:t>ІНФОРМАЦІЯ</w:t>
      </w:r>
    </w:p>
    <w:p w:rsidR="00C74C66" w:rsidRPr="00C74C66" w:rsidRDefault="00C74C66" w:rsidP="00C74C66">
      <w:pPr>
        <w:jc w:val="center"/>
        <w:rPr>
          <w:b/>
          <w:bCs/>
        </w:rPr>
      </w:pPr>
      <w:r w:rsidRPr="00C74C66">
        <w:rPr>
          <w:b/>
          <w:bCs/>
        </w:rPr>
        <w:t>про використання коштів міського бюджету</w:t>
      </w:r>
    </w:p>
    <w:p w:rsidR="00C74C66" w:rsidRPr="00C74C66" w:rsidRDefault="00C74C66" w:rsidP="00C74C66">
      <w:pPr>
        <w:jc w:val="center"/>
        <w:rPr>
          <w:b/>
          <w:bCs/>
        </w:rPr>
      </w:pPr>
      <w:r w:rsidRPr="00C74C66">
        <w:rPr>
          <w:b/>
          <w:bCs/>
        </w:rPr>
        <w:t xml:space="preserve">(пояснююча до звіту про виконання </w:t>
      </w:r>
    </w:p>
    <w:p w:rsidR="00C74C66" w:rsidRPr="00C74C66" w:rsidRDefault="00C74C66" w:rsidP="00C74C66">
      <w:pPr>
        <w:jc w:val="center"/>
        <w:rPr>
          <w:b/>
          <w:bCs/>
        </w:rPr>
      </w:pPr>
      <w:r w:rsidRPr="00C74C66">
        <w:rPr>
          <w:b/>
          <w:bCs/>
        </w:rPr>
        <w:t>міського бюджету м. Черкаси за 2015 рік)</w:t>
      </w:r>
    </w:p>
    <w:p w:rsidR="00C74C66" w:rsidRPr="00C74C66" w:rsidRDefault="00C74C66" w:rsidP="00C74C66">
      <w:pPr>
        <w:widowControl w:val="0"/>
        <w:spacing w:before="120"/>
        <w:ind w:left="62" w:firstLine="550"/>
        <w:jc w:val="both"/>
        <w:rPr>
          <w:highlight w:val="yellow"/>
          <w:lang w:val="ru-RU"/>
        </w:rPr>
      </w:pPr>
      <w:r w:rsidRPr="00C74C66">
        <w:t>Міський бюджет за 2015 рік виконано:</w:t>
      </w:r>
      <w:r w:rsidRPr="00C74C66">
        <w:rPr>
          <w:b/>
          <w:bCs/>
        </w:rPr>
        <w:t xml:space="preserve"> по доходах</w:t>
      </w:r>
      <w:r w:rsidRPr="00C74C66">
        <w:t xml:space="preserve"> у сумі 1 629 898,1 тис.грн., або на 105,0 відс. до уточненого річного плану, в тому числі до загального фонду надійшло доходів у сумі 1 558 447,5 тис.грн., що складає 105,9 відс. уточненого річного плану, до спеціального фонду надійшло 71 450,6 тис.грн., що складає 88,0 відс. до уточненого річного плану (в порівнянні з 2014 роком доходи зросли на 330 863,3 тис.грн., або на 25,5 відс.); </w:t>
      </w:r>
      <w:r w:rsidRPr="00C74C66">
        <w:rPr>
          <w:b/>
          <w:bCs/>
        </w:rPr>
        <w:t>по видатках</w:t>
      </w:r>
      <w:r w:rsidRPr="00C74C66">
        <w:t xml:space="preserve"> у сумі 1 574 472,2 тис.грн., або на 93,3 відс. до уточненого річного плану, в тому числі по загальному фонду – 1 314 210,9 тис.грн., або на 96,2 відс. до уточненого річного плану, по спеціальному фонду – 260 261,3 тис.грн., або на 80,7 відс. до уточненого річного плану (в порівнянні з 2014 роком видатки зросли на 294 374,7 тис.грн., або на 23,0 відс.); </w:t>
      </w:r>
      <w:r w:rsidRPr="00C74C66">
        <w:rPr>
          <w:b/>
          <w:bCs/>
        </w:rPr>
        <w:t>по кредитуванню</w:t>
      </w:r>
      <w:r w:rsidRPr="00C74C66">
        <w:t xml:space="preserve"> у сумі 184,5 тис.грн. (в порівнянні з 2014 роком кредитування зменшилося на 411,1 тис.грн., або на 69,0 відс.), в тому числі обсяг наданих кредитів складає 1 154,9 тис.грн. (з них по загальному фонду – 507,8 тис.грн., або на 100,0 відс. до уточненого річного плану, по спеціальному фонду – 647,1 тис.грн., або на 50,0 відс. до річного плану), обсяг повернення кредитів, наданих у минулих роках, складає – - («мінус») 970,4 тис.грн. (з них по загальному фонду – - («мінус») 56,7 тис.грн., по спеціальному фонду – - («мінус») 913,7 тис.грн.). </w:t>
      </w:r>
    </w:p>
    <w:p w:rsidR="00C74C66" w:rsidRPr="00C74C66" w:rsidRDefault="00C74C66" w:rsidP="00C74C66">
      <w:pPr>
        <w:widowControl w:val="0"/>
        <w:ind w:left="62" w:firstLine="550"/>
        <w:jc w:val="both"/>
      </w:pPr>
      <w:r w:rsidRPr="00C74C66">
        <w:t xml:space="preserve">За 2015 рік </w:t>
      </w:r>
      <w:r w:rsidRPr="00C74C66">
        <w:rPr>
          <w:b/>
        </w:rPr>
        <w:t>бюджет міста виконаний з профіцитом</w:t>
      </w:r>
      <w:r w:rsidRPr="00C74C66">
        <w:t xml:space="preserve"> у сумі 55 241,4 тис.грн., при планованому дефіциті у розмірі 150 254,0 тис.грн., в тому числі </w:t>
      </w:r>
      <w:r w:rsidRPr="00C74C66">
        <w:rPr>
          <w:i/>
        </w:rPr>
        <w:t xml:space="preserve">по </w:t>
      </w:r>
      <w:r w:rsidRPr="00C74C66">
        <w:rPr>
          <w:bCs/>
          <w:i/>
        </w:rPr>
        <w:t>загальному фонду</w:t>
      </w:r>
      <w:r w:rsidRPr="00C74C66">
        <w:t xml:space="preserve"> </w:t>
      </w:r>
      <w:r w:rsidRPr="00C74C66">
        <w:rPr>
          <w:i/>
        </w:rPr>
        <w:t>бюджет виконаний з профіцитом</w:t>
      </w:r>
      <w:r w:rsidRPr="00C74C66">
        <w:t xml:space="preserve"> у сумі 243 785,5 тис.грн. (у зв’язку із збільшенням на кінець звітного періоду залишку коштів міського бюджету на 133 096,5 тис.грн. та передачею коштів із загального фонду до бюджету розвитку в сумі 110 689,0 тис.грн.), при планованому профіциті у розмірі 104 984,4 тис.грн., </w:t>
      </w:r>
      <w:r w:rsidRPr="00C74C66">
        <w:rPr>
          <w:i/>
        </w:rPr>
        <w:t xml:space="preserve">по </w:t>
      </w:r>
      <w:r w:rsidRPr="00C74C66">
        <w:rPr>
          <w:bCs/>
          <w:i/>
        </w:rPr>
        <w:t>спеціальному фонду</w:t>
      </w:r>
      <w:r w:rsidRPr="00C74C66">
        <w:rPr>
          <w:i/>
        </w:rPr>
        <w:t xml:space="preserve"> бюджет міста виконаний з дефіцитом</w:t>
      </w:r>
      <w:r w:rsidRPr="00C74C66">
        <w:t xml:space="preserve"> у сумі 188 544,1 тис.грн. (у зв’язку із зменшенням на кінець звітного періоду залишків коштів на рахунках бюджетних установ на 647,9 тис.грн., зменшенням залишку коштів міського бюджету на 78 046,6 тис.грн., передачею коштів із загального фонду до бюджету розвитку в сумі 110 689,0 тис.грн. та проведенням інших розрахунків на суму 839,4 тис.грн.), при планованому дефіциті у сумі 255 238,4 тис.грн.</w:t>
      </w:r>
    </w:p>
    <w:p w:rsidR="00C74C66" w:rsidRPr="00C74C66" w:rsidRDefault="00C74C66" w:rsidP="00C74C66">
      <w:pPr>
        <w:tabs>
          <w:tab w:val="left" w:pos="540"/>
        </w:tabs>
        <w:ind w:firstLine="539"/>
        <w:jc w:val="both"/>
      </w:pPr>
      <w:r w:rsidRPr="00C74C66">
        <w:t>В цілому на утримання галузей соціально-культурної сфери за 2015 рік по загальному фонду спрямовано 1 093 371,4 тис.грн., або 98,7 відс. до уточненого річного плану. В порівнянні з 2014 роком ці видатки зросли на 230 439,7 тис.грн., або на 26,7 відс.</w:t>
      </w:r>
    </w:p>
    <w:p w:rsidR="00C74C66" w:rsidRPr="00C74C66" w:rsidRDefault="00C74C66" w:rsidP="00C74C66">
      <w:pPr>
        <w:widowControl w:val="0"/>
        <w:jc w:val="both"/>
      </w:pPr>
      <w:r w:rsidRPr="00C74C66">
        <w:t xml:space="preserve">    </w:t>
      </w:r>
      <w:r>
        <w:rPr>
          <w:noProof/>
          <w:lang w:val="ru-RU"/>
        </w:rPr>
        <w:drawing>
          <wp:inline distT="0" distB="0" distL="0" distR="0">
            <wp:extent cx="6156960" cy="233172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74C66">
        <w:t xml:space="preserve">     </w:t>
      </w:r>
    </w:p>
    <w:p w:rsidR="00C74C66" w:rsidRPr="00C74C66" w:rsidRDefault="00C74C66" w:rsidP="00C74C66">
      <w:pPr>
        <w:keepNext/>
        <w:ind w:firstLine="540"/>
        <w:jc w:val="center"/>
        <w:outlineLvl w:val="2"/>
        <w:rPr>
          <w:b/>
          <w:bCs/>
          <w:i/>
          <w:iCs/>
          <w:u w:val="single"/>
        </w:rPr>
      </w:pPr>
      <w:r w:rsidRPr="00C74C66">
        <w:rPr>
          <w:b/>
          <w:bCs/>
          <w:i/>
          <w:iCs/>
          <w:u w:val="single"/>
        </w:rPr>
        <w:lastRenderedPageBreak/>
        <w:t>ДОХОДНА ЧАСТИНА</w:t>
      </w:r>
    </w:p>
    <w:p w:rsidR="00C74C66" w:rsidRPr="00C74C66" w:rsidRDefault="00C74C66" w:rsidP="00C74C66">
      <w:pPr>
        <w:ind w:firstLine="540"/>
        <w:jc w:val="both"/>
        <w:rPr>
          <w:rFonts w:eastAsia="MS Mincho"/>
          <w:lang w:val="x-none"/>
        </w:rPr>
      </w:pPr>
      <w:r w:rsidRPr="00C74C66">
        <w:rPr>
          <w:rFonts w:eastAsia="MS Mincho"/>
          <w:lang w:val="x-none"/>
        </w:rPr>
        <w:t>Відповідно до уточнених планових призначень на 2015 рік передбачено отримати 1552332,0 тис.грн. надходжень, з них: до загального фонду – 1471158,9 тис.грн., у т.ч. податкові та неподаткові надходження – 609804,9 тис.грн., дотації – 2039,8 тис.грн., субвенції  – 859314,2 тис.грн.; до спеціального фонду – 81173,1 тис.грн., у т.ч. бюджет розвитку (платежі) –  17076,0 тис.грн.</w:t>
      </w:r>
    </w:p>
    <w:p w:rsidR="00C74C66" w:rsidRPr="00C74C66" w:rsidRDefault="00C74C66" w:rsidP="00C74C66">
      <w:pPr>
        <w:ind w:firstLine="540"/>
        <w:jc w:val="both"/>
        <w:rPr>
          <w:rFonts w:eastAsia="MS Mincho"/>
          <w:lang w:val="x-none"/>
        </w:rPr>
      </w:pPr>
      <w:r w:rsidRPr="00C74C66">
        <w:rPr>
          <w:rFonts w:eastAsia="MS Mincho"/>
          <w:lang w:val="x-none"/>
        </w:rPr>
        <w:t>Фактично за 2015 рік до бюджету надійшло 1629898,1 тис.грн., або 105,0 відс. до плану на 2015 рік, з них до загального фонду бюджету – 1558447,5 тис.грн., або 105,9 відс. до плану на 2015 рік, зокрема:</w:t>
      </w:r>
    </w:p>
    <w:p w:rsidR="00C74C66" w:rsidRPr="00C74C66" w:rsidRDefault="00C74C66" w:rsidP="00C74C66">
      <w:pPr>
        <w:jc w:val="both"/>
        <w:rPr>
          <w:rFonts w:eastAsia="MS Mincho"/>
          <w:b/>
          <w:bCs/>
          <w:lang w:val="x-none"/>
        </w:rPr>
      </w:pPr>
      <w:r w:rsidRPr="00C74C66">
        <w:rPr>
          <w:rFonts w:eastAsia="MS Mincho"/>
          <w:lang w:val="x-none"/>
        </w:rPr>
        <w:t>- податкові та неподаткові надходження загального фонду – 723400,6 тис.грн., або 118,6 відс. до плану на 2015 рік;</w:t>
      </w:r>
    </w:p>
    <w:p w:rsidR="00C74C66" w:rsidRPr="00C74C66" w:rsidRDefault="00C74C66" w:rsidP="00C74C66">
      <w:pPr>
        <w:jc w:val="both"/>
        <w:rPr>
          <w:rFonts w:eastAsia="MS Mincho"/>
          <w:lang w:val="x-none"/>
        </w:rPr>
      </w:pPr>
      <w:r w:rsidRPr="00C74C66">
        <w:rPr>
          <w:rFonts w:eastAsia="MS Mincho"/>
          <w:lang w:val="x-none"/>
        </w:rPr>
        <w:t xml:space="preserve">- офіційні трансферти загального фонду – 835046,9 тис.грн., або 96,9 відс. до плану на 2015 рік. </w:t>
      </w:r>
    </w:p>
    <w:p w:rsidR="00C74C66" w:rsidRPr="00C74C66" w:rsidRDefault="00C74C66" w:rsidP="00C74C66">
      <w:pPr>
        <w:ind w:firstLine="540"/>
        <w:jc w:val="both"/>
        <w:rPr>
          <w:rFonts w:eastAsia="MS Mincho"/>
          <w:lang w:val="x-none"/>
        </w:rPr>
      </w:pPr>
      <w:r w:rsidRPr="00C74C66">
        <w:rPr>
          <w:rFonts w:eastAsia="MS Mincho"/>
          <w:lang w:val="x-none"/>
        </w:rPr>
        <w:t>До спеціального фонду надійшло 71450,6 тис.грн., або 88,0 відс. до плану на рік.</w:t>
      </w:r>
    </w:p>
    <w:p w:rsidR="00C74C66" w:rsidRPr="00C74C66" w:rsidRDefault="00C74C66" w:rsidP="00C74C66">
      <w:pPr>
        <w:spacing w:before="60"/>
        <w:jc w:val="center"/>
        <w:rPr>
          <w:rFonts w:eastAsia="MS Mincho"/>
          <w:b/>
          <w:bCs/>
          <w:highlight w:val="yellow"/>
          <w:lang w:val="x-none"/>
        </w:rPr>
      </w:pPr>
      <w:r>
        <w:rPr>
          <w:rFonts w:eastAsia="MS Mincho"/>
          <w:b/>
          <w:bCs/>
          <w:noProof/>
          <w:lang w:val="ru-RU"/>
        </w:rPr>
        <w:drawing>
          <wp:inline distT="0" distB="0" distL="0" distR="0" wp14:anchorId="0A31FE8C">
            <wp:extent cx="4399915" cy="1571625"/>
            <wp:effectExtent l="0" t="0" r="63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9915" cy="1571625"/>
                    </a:xfrm>
                    <a:prstGeom prst="rect">
                      <a:avLst/>
                    </a:prstGeom>
                    <a:noFill/>
                  </pic:spPr>
                </pic:pic>
              </a:graphicData>
            </a:graphic>
          </wp:inline>
        </w:drawing>
      </w:r>
    </w:p>
    <w:p w:rsidR="00C74C66" w:rsidRPr="00C74C66" w:rsidRDefault="00C74C66" w:rsidP="00C74C66">
      <w:pPr>
        <w:ind w:firstLine="540"/>
        <w:jc w:val="both"/>
        <w:rPr>
          <w:rFonts w:eastAsia="MS Mincho"/>
          <w:lang w:val="x-none"/>
        </w:rPr>
      </w:pPr>
      <w:r w:rsidRPr="00C74C66">
        <w:rPr>
          <w:rFonts w:eastAsia="MS Mincho"/>
          <w:lang w:val="x-none"/>
        </w:rPr>
        <w:t>Порівняно з 2014 роком у 2015 році надходження до міського бюджету (з офіційними трансфертами) збільшились на 330863,3 тис.грн., або на 25,5 відс., зокрема:</w:t>
      </w:r>
    </w:p>
    <w:p w:rsidR="00C74C66" w:rsidRPr="00C74C66" w:rsidRDefault="00C74C66" w:rsidP="00C74C66">
      <w:pPr>
        <w:rPr>
          <w:rFonts w:eastAsia="MS Mincho"/>
          <w:lang w:val="x-none"/>
        </w:rPr>
      </w:pPr>
      <w:r w:rsidRPr="00C74C66">
        <w:rPr>
          <w:rFonts w:eastAsia="MS Mincho"/>
          <w:lang w:val="x-none"/>
        </w:rPr>
        <w:t>- надходження до загального фонду збільшились на 578802,3 тис.грн., або на 59,1 відс., у т.ч.:</w:t>
      </w:r>
    </w:p>
    <w:p w:rsidR="00C74C66" w:rsidRPr="00C74C66" w:rsidRDefault="00C74C66" w:rsidP="00C74C66">
      <w:pPr>
        <w:numPr>
          <w:ilvl w:val="0"/>
          <w:numId w:val="6"/>
        </w:numPr>
        <w:ind w:left="284" w:hanging="284"/>
        <w:rPr>
          <w:rFonts w:eastAsia="MS Mincho"/>
          <w:lang w:val="x-none"/>
        </w:rPr>
      </w:pPr>
      <w:r w:rsidRPr="00C74C66">
        <w:rPr>
          <w:rFonts w:eastAsia="MS Mincho"/>
          <w:lang w:val="x-none"/>
        </w:rPr>
        <w:t>податкові та неподаткові надходження збільшились на 232915,4 тис.грн., або на</w:t>
      </w:r>
      <w:r w:rsidRPr="00C74C66">
        <w:rPr>
          <w:rFonts w:eastAsia="MS Mincho"/>
        </w:rPr>
        <w:t xml:space="preserve"> </w:t>
      </w:r>
      <w:r w:rsidRPr="00C74C66">
        <w:rPr>
          <w:rFonts w:eastAsia="MS Mincho"/>
          <w:lang w:val="x-none"/>
        </w:rPr>
        <w:t>47,5відс.;</w:t>
      </w:r>
    </w:p>
    <w:p w:rsidR="00C74C66" w:rsidRPr="00C74C66" w:rsidRDefault="00C74C66" w:rsidP="00C74C66">
      <w:pPr>
        <w:numPr>
          <w:ilvl w:val="0"/>
          <w:numId w:val="6"/>
        </w:numPr>
        <w:ind w:left="284" w:hanging="284"/>
        <w:rPr>
          <w:rFonts w:eastAsia="MS Mincho"/>
          <w:lang w:val="x-none"/>
        </w:rPr>
      </w:pPr>
      <w:r w:rsidRPr="00C74C66">
        <w:rPr>
          <w:rFonts w:eastAsia="MS Mincho"/>
          <w:lang w:val="x-none"/>
        </w:rPr>
        <w:t>офіційні трансферти збільшились на 345886,9 тис.грн., або на 70,7 відс.;</w:t>
      </w:r>
    </w:p>
    <w:p w:rsidR="00C74C66" w:rsidRPr="00C74C66" w:rsidRDefault="00C74C66" w:rsidP="00C74C66">
      <w:pPr>
        <w:ind w:left="284" w:hanging="284"/>
        <w:rPr>
          <w:rFonts w:eastAsia="MS Mincho"/>
          <w:lang w:val="x-none"/>
        </w:rPr>
      </w:pPr>
      <w:r w:rsidRPr="00C74C66">
        <w:rPr>
          <w:rFonts w:eastAsia="MS Mincho"/>
          <w:lang w:val="x-none"/>
        </w:rPr>
        <w:t>- надходження спеціального фонду зменшились на 247939,0 тис.грн., або на 77,6 відс., у т.ч.:</w:t>
      </w:r>
    </w:p>
    <w:p w:rsidR="00C74C66" w:rsidRPr="00C74C66" w:rsidRDefault="00C74C66" w:rsidP="00C74C66">
      <w:pPr>
        <w:numPr>
          <w:ilvl w:val="0"/>
          <w:numId w:val="6"/>
        </w:numPr>
        <w:ind w:left="284" w:hanging="284"/>
        <w:rPr>
          <w:rFonts w:eastAsia="MS Mincho"/>
          <w:lang w:val="x-none"/>
        </w:rPr>
      </w:pPr>
      <w:r w:rsidRPr="00C74C66">
        <w:rPr>
          <w:rFonts w:eastAsia="MS Mincho"/>
          <w:lang w:val="x-none"/>
        </w:rPr>
        <w:t>податки і збори зменшились на 80214,9 тис.грн., або на 53,8 відс.;</w:t>
      </w:r>
    </w:p>
    <w:p w:rsidR="00C74C66" w:rsidRPr="00C74C66" w:rsidRDefault="00C74C66" w:rsidP="00C74C66">
      <w:pPr>
        <w:numPr>
          <w:ilvl w:val="0"/>
          <w:numId w:val="6"/>
        </w:numPr>
        <w:ind w:left="284" w:hanging="284"/>
        <w:rPr>
          <w:rFonts w:eastAsia="MS Mincho"/>
          <w:lang w:val="x-none"/>
        </w:rPr>
      </w:pPr>
      <w:r w:rsidRPr="00C74C66">
        <w:rPr>
          <w:rFonts w:eastAsia="MS Mincho"/>
          <w:lang w:val="x-none"/>
        </w:rPr>
        <w:t>офіційні трансферти зменшились на 167724,1 тис.грн., або на 98,5 відс.</w:t>
      </w:r>
    </w:p>
    <w:p w:rsidR="00C74C66" w:rsidRPr="00C74C66" w:rsidRDefault="00C74C66" w:rsidP="00C74C66">
      <w:pPr>
        <w:ind w:firstLine="540"/>
        <w:jc w:val="center"/>
        <w:rPr>
          <w:b/>
          <w:bCs/>
          <w:i/>
          <w:iCs/>
          <w:u w:val="single"/>
          <w:lang w:val="x-none"/>
        </w:rPr>
      </w:pPr>
      <w:r w:rsidRPr="00C74C66">
        <w:rPr>
          <w:b/>
          <w:bCs/>
          <w:i/>
          <w:iCs/>
          <w:u w:val="single"/>
          <w:lang w:val="x-none"/>
        </w:rPr>
        <w:t>Загальний фонд</w:t>
      </w:r>
    </w:p>
    <w:p w:rsidR="00C74C66" w:rsidRPr="00C74C66" w:rsidRDefault="00C74C66" w:rsidP="00C74C66">
      <w:pPr>
        <w:spacing w:before="60"/>
        <w:ind w:firstLine="539"/>
        <w:jc w:val="both"/>
        <w:rPr>
          <w:rFonts w:eastAsia="MS Mincho"/>
          <w:lang w:val="x-none"/>
        </w:rPr>
      </w:pPr>
      <w:r w:rsidRPr="00C74C66">
        <w:rPr>
          <w:rFonts w:eastAsia="MS Mincho"/>
          <w:lang w:val="x-none"/>
        </w:rPr>
        <w:t>Основні надходження до загального фонду бюджету міста забезпечили: податок на доходи фізичних осіб, акцизний податок, єдиний податок та плата за землю. Надходження вказаних видів платежів забезпечили в 2015 році 89,8 відс. загальних надходжень податків та неподаткових платежів загального фонду бюджету м. Черкаси.</w:t>
      </w:r>
    </w:p>
    <w:p w:rsidR="00C74C66" w:rsidRPr="00C74C66" w:rsidRDefault="00C74C66" w:rsidP="00C74C66">
      <w:pPr>
        <w:spacing w:before="60"/>
        <w:jc w:val="center"/>
        <w:rPr>
          <w:i/>
        </w:rPr>
      </w:pPr>
      <w:r w:rsidRPr="00C74C66">
        <w:rPr>
          <w:b/>
          <w:lang w:val="x-none"/>
        </w:rPr>
        <w:t>Аналіз надходжень до загального фонду міського бюджету за 2015 рік</w:t>
      </w:r>
      <w:r w:rsidRPr="00C74C66">
        <w:rPr>
          <w:b/>
        </w:rPr>
        <w:t xml:space="preserve"> </w:t>
      </w:r>
      <w:r w:rsidRPr="00C74C66">
        <w:rPr>
          <w:i/>
        </w:rPr>
        <w:t>(без офіційних трансфертів)</w:t>
      </w:r>
    </w:p>
    <w:p w:rsidR="00C74C66" w:rsidRPr="00C74C66" w:rsidRDefault="00C74C66" w:rsidP="00C74C66">
      <w:pPr>
        <w:jc w:val="right"/>
        <w:rPr>
          <w:b/>
          <w:sz w:val="20"/>
          <w:szCs w:val="20"/>
          <w:lang w:val="x-none"/>
        </w:rPr>
      </w:pPr>
      <w:r w:rsidRPr="00C74C66">
        <w:rPr>
          <w:sz w:val="20"/>
          <w:szCs w:val="20"/>
          <w:lang w:val="x-none"/>
        </w:rPr>
        <w:t xml:space="preserve">                                                                                                тис.грн.    </w:t>
      </w:r>
      <w:r w:rsidRPr="00C74C66">
        <w:rPr>
          <w:b/>
          <w:sz w:val="20"/>
          <w:szCs w:val="20"/>
          <w:lang w:val="x-none"/>
        </w:rPr>
        <w:t xml:space="preserve">                </w:t>
      </w:r>
    </w:p>
    <w:tbl>
      <w:tblPr>
        <w:tblW w:w="97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5"/>
        <w:gridCol w:w="1134"/>
        <w:gridCol w:w="1134"/>
        <w:gridCol w:w="1433"/>
        <w:gridCol w:w="1609"/>
      </w:tblGrid>
      <w:tr w:rsidR="00C74C66" w:rsidRPr="00C74C66" w:rsidTr="002F34D0">
        <w:trPr>
          <w:trHeight w:val="517"/>
        </w:trPr>
        <w:tc>
          <w:tcPr>
            <w:tcW w:w="4395" w:type="dxa"/>
            <w:tcBorders>
              <w:top w:val="single" w:sz="4" w:space="0" w:color="auto"/>
              <w:left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540"/>
              <w:jc w:val="center"/>
              <w:rPr>
                <w:b/>
                <w:sz w:val="20"/>
                <w:szCs w:val="20"/>
              </w:rPr>
            </w:pPr>
            <w:r w:rsidRPr="00C74C66">
              <w:rPr>
                <w:b/>
                <w:sz w:val="20"/>
                <w:szCs w:val="20"/>
              </w:rPr>
              <w:t>Назва податку</w:t>
            </w:r>
          </w:p>
        </w:tc>
        <w:tc>
          <w:tcPr>
            <w:tcW w:w="1134" w:type="dxa"/>
            <w:tcBorders>
              <w:top w:val="single" w:sz="4" w:space="0" w:color="auto"/>
              <w:left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48"/>
              <w:jc w:val="center"/>
              <w:rPr>
                <w:b/>
                <w:sz w:val="20"/>
                <w:szCs w:val="20"/>
              </w:rPr>
            </w:pPr>
            <w:r w:rsidRPr="00C74C66">
              <w:rPr>
                <w:b/>
                <w:sz w:val="20"/>
                <w:szCs w:val="20"/>
              </w:rPr>
              <w:t xml:space="preserve">План </w:t>
            </w:r>
          </w:p>
          <w:p w:rsidR="00C74C66" w:rsidRPr="00C74C66" w:rsidRDefault="00C74C66" w:rsidP="00C74C66">
            <w:pPr>
              <w:ind w:left="57" w:right="57" w:hanging="48"/>
              <w:jc w:val="center"/>
              <w:rPr>
                <w:b/>
                <w:sz w:val="20"/>
                <w:szCs w:val="20"/>
              </w:rPr>
            </w:pPr>
            <w:r w:rsidRPr="00C74C66">
              <w:rPr>
                <w:b/>
                <w:sz w:val="20"/>
                <w:szCs w:val="20"/>
              </w:rPr>
              <w:t>на 2015 рік</w:t>
            </w:r>
          </w:p>
        </w:tc>
        <w:tc>
          <w:tcPr>
            <w:tcW w:w="1134" w:type="dxa"/>
            <w:tcBorders>
              <w:top w:val="single" w:sz="4" w:space="0" w:color="auto"/>
              <w:left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62"/>
              <w:jc w:val="center"/>
              <w:rPr>
                <w:b/>
                <w:sz w:val="20"/>
                <w:szCs w:val="20"/>
              </w:rPr>
            </w:pPr>
            <w:r w:rsidRPr="00C74C66">
              <w:rPr>
                <w:b/>
                <w:sz w:val="20"/>
                <w:szCs w:val="20"/>
              </w:rPr>
              <w:t xml:space="preserve">Факт за </w:t>
            </w:r>
          </w:p>
          <w:p w:rsidR="00C74C66" w:rsidRPr="00C74C66" w:rsidRDefault="00C74C66" w:rsidP="00C74C66">
            <w:pPr>
              <w:ind w:left="57" w:right="57" w:firstLine="62"/>
              <w:jc w:val="center"/>
              <w:rPr>
                <w:b/>
                <w:sz w:val="20"/>
                <w:szCs w:val="20"/>
              </w:rPr>
            </w:pPr>
            <w:r w:rsidRPr="00C74C66">
              <w:rPr>
                <w:b/>
                <w:sz w:val="20"/>
                <w:szCs w:val="20"/>
              </w:rPr>
              <w:t>2015 рік</w:t>
            </w:r>
          </w:p>
        </w:tc>
        <w:tc>
          <w:tcPr>
            <w:tcW w:w="1433" w:type="dxa"/>
            <w:tcBorders>
              <w:top w:val="single" w:sz="4" w:space="0" w:color="auto"/>
              <w:left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62"/>
              <w:jc w:val="center"/>
              <w:rPr>
                <w:b/>
                <w:sz w:val="20"/>
                <w:szCs w:val="20"/>
              </w:rPr>
            </w:pPr>
            <w:r w:rsidRPr="00C74C66">
              <w:rPr>
                <w:b/>
                <w:sz w:val="20"/>
                <w:szCs w:val="20"/>
              </w:rPr>
              <w:t>Відхилення (тис.грн.)</w:t>
            </w:r>
          </w:p>
        </w:tc>
        <w:tc>
          <w:tcPr>
            <w:tcW w:w="1609" w:type="dxa"/>
            <w:tcBorders>
              <w:top w:val="single" w:sz="4" w:space="0" w:color="auto"/>
              <w:left w:val="single" w:sz="4" w:space="0" w:color="auto"/>
              <w:right w:val="single" w:sz="4" w:space="0" w:color="auto"/>
            </w:tcBorders>
            <w:vAlign w:val="center"/>
          </w:tcPr>
          <w:p w:rsidR="00C74C66" w:rsidRPr="00C74C66" w:rsidRDefault="00C74C66" w:rsidP="00C74C66">
            <w:pPr>
              <w:ind w:left="57" w:right="57" w:firstLine="11"/>
              <w:jc w:val="center"/>
              <w:rPr>
                <w:b/>
                <w:sz w:val="20"/>
                <w:szCs w:val="20"/>
              </w:rPr>
            </w:pPr>
            <w:r w:rsidRPr="00C74C66">
              <w:rPr>
                <w:b/>
                <w:sz w:val="20"/>
                <w:szCs w:val="20"/>
              </w:rPr>
              <w:t>Відсоток  виконання (%)</w:t>
            </w:r>
          </w:p>
        </w:tc>
      </w:tr>
      <w:tr w:rsidR="00C74C66" w:rsidRPr="00C74C66" w:rsidTr="002F34D0">
        <w:trPr>
          <w:trHeight w:val="26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ind w:left="57" w:right="57" w:hanging="57"/>
              <w:rPr>
                <w:b/>
                <w:sz w:val="20"/>
                <w:szCs w:val="20"/>
              </w:rPr>
            </w:pPr>
            <w:r w:rsidRPr="00C74C66">
              <w:rPr>
                <w:b/>
                <w:sz w:val="20"/>
                <w:szCs w:val="20"/>
              </w:rPr>
              <w:t>Податок на доходи фізичних осіб</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312190,0</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372804,5</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60614,5</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119,4</w:t>
            </w:r>
          </w:p>
        </w:tc>
      </w:tr>
      <w:tr w:rsidR="00C74C66" w:rsidRPr="00C74C66" w:rsidTr="002F34D0">
        <w:trPr>
          <w:trHeight w:val="513"/>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ind w:left="57" w:right="57" w:hanging="57"/>
              <w:rPr>
                <w:b/>
                <w:sz w:val="20"/>
                <w:szCs w:val="20"/>
              </w:rPr>
            </w:pPr>
            <w:r w:rsidRPr="00C74C66">
              <w:rPr>
                <w:b/>
                <w:sz w:val="20"/>
                <w:szCs w:val="20"/>
              </w:rPr>
              <w:t>Акцизний податок з реалізації суб’єктами господарювання роздрібної торгівлі підакцизних товарів</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62210,0</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70426,4</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8216,4</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113,2</w:t>
            </w:r>
          </w:p>
        </w:tc>
      </w:tr>
      <w:tr w:rsidR="00C74C66" w:rsidRPr="00C74C66" w:rsidTr="002F34D0">
        <w:trPr>
          <w:trHeight w:val="220"/>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ind w:left="-17" w:right="57" w:firstLine="17"/>
              <w:rPr>
                <w:b/>
                <w:sz w:val="20"/>
                <w:szCs w:val="20"/>
              </w:rPr>
            </w:pPr>
            <w:r w:rsidRPr="00C74C66">
              <w:rPr>
                <w:b/>
                <w:sz w:val="20"/>
                <w:szCs w:val="20"/>
              </w:rPr>
              <w:t>Місцеві податки і збори, у т.ч.:</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189870,0</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223108,6</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33238,6</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117,5</w:t>
            </w:r>
          </w:p>
        </w:tc>
      </w:tr>
      <w:tr w:rsidR="00C74C66" w:rsidRPr="00C74C66" w:rsidTr="002F34D0">
        <w:trPr>
          <w:trHeight w:val="18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tabs>
                <w:tab w:val="left" w:pos="1100"/>
              </w:tabs>
              <w:ind w:left="57" w:right="57" w:hanging="57"/>
              <w:rPr>
                <w:sz w:val="20"/>
                <w:szCs w:val="20"/>
              </w:rPr>
            </w:pPr>
            <w:r w:rsidRPr="00C74C66">
              <w:rPr>
                <w:sz w:val="20"/>
                <w:szCs w:val="20"/>
              </w:rPr>
              <w:t>1) податок на майно, у т.ч.:</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sz w:val="20"/>
                <w:szCs w:val="20"/>
              </w:rPr>
            </w:pPr>
            <w:r w:rsidRPr="00C74C66">
              <w:rPr>
                <w:sz w:val="20"/>
                <w:szCs w:val="20"/>
              </w:rPr>
              <w:t>110300,0</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119601,4</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sz w:val="20"/>
                <w:szCs w:val="20"/>
              </w:rPr>
            </w:pPr>
            <w:r w:rsidRPr="00C74C66">
              <w:rPr>
                <w:sz w:val="20"/>
                <w:szCs w:val="20"/>
              </w:rPr>
              <w:t>9301,4</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sz w:val="20"/>
                <w:szCs w:val="20"/>
              </w:rPr>
            </w:pPr>
            <w:r w:rsidRPr="00C74C66">
              <w:rPr>
                <w:sz w:val="20"/>
                <w:szCs w:val="20"/>
              </w:rPr>
              <w:t>108,4</w:t>
            </w:r>
          </w:p>
        </w:tc>
      </w:tr>
      <w:tr w:rsidR="00C74C66" w:rsidRPr="00C74C66" w:rsidTr="002F34D0">
        <w:trPr>
          <w:trHeight w:val="18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ind w:right="57"/>
              <w:rPr>
                <w:i/>
                <w:sz w:val="20"/>
                <w:szCs w:val="20"/>
              </w:rPr>
            </w:pPr>
            <w:r w:rsidRPr="00C74C66">
              <w:rPr>
                <w:i/>
                <w:sz w:val="20"/>
                <w:szCs w:val="20"/>
              </w:rPr>
              <w:t>податок на нерухоме майно</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rPr>
                <w:i/>
                <w:sz w:val="20"/>
                <w:szCs w:val="20"/>
              </w:rPr>
            </w:pPr>
            <w:r w:rsidRPr="00C74C66">
              <w:rPr>
                <w:i/>
                <w:sz w:val="20"/>
                <w:szCs w:val="20"/>
              </w:rPr>
              <w:t>10700,0</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i/>
                <w:sz w:val="20"/>
                <w:szCs w:val="20"/>
              </w:rPr>
            </w:pPr>
            <w:r w:rsidRPr="00C74C66">
              <w:rPr>
                <w:i/>
                <w:sz w:val="20"/>
                <w:szCs w:val="20"/>
              </w:rPr>
              <w:t>13340,1</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rPr>
                <w:i/>
                <w:sz w:val="20"/>
                <w:szCs w:val="20"/>
              </w:rPr>
            </w:pPr>
            <w:r w:rsidRPr="00C74C66">
              <w:rPr>
                <w:i/>
                <w:sz w:val="20"/>
                <w:szCs w:val="20"/>
              </w:rPr>
              <w:t>2640,1</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rPr>
                <w:i/>
                <w:sz w:val="20"/>
                <w:szCs w:val="20"/>
              </w:rPr>
            </w:pPr>
            <w:r w:rsidRPr="00C74C66">
              <w:rPr>
                <w:i/>
                <w:sz w:val="20"/>
                <w:szCs w:val="20"/>
              </w:rPr>
              <w:t>124,7</w:t>
            </w:r>
          </w:p>
        </w:tc>
      </w:tr>
      <w:tr w:rsidR="00C74C66" w:rsidRPr="00C74C66" w:rsidTr="002F34D0">
        <w:trPr>
          <w:trHeight w:val="18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tabs>
                <w:tab w:val="left" w:pos="976"/>
                <w:tab w:val="left" w:pos="2057"/>
                <w:tab w:val="left" w:pos="2264"/>
                <w:tab w:val="left" w:pos="2598"/>
              </w:tabs>
              <w:ind w:right="57"/>
              <w:rPr>
                <w:i/>
                <w:sz w:val="20"/>
                <w:szCs w:val="20"/>
              </w:rPr>
            </w:pPr>
            <w:r w:rsidRPr="00C74C66">
              <w:rPr>
                <w:i/>
                <w:sz w:val="20"/>
                <w:szCs w:val="20"/>
              </w:rPr>
              <w:t>плата за землю</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rPr>
                <w:i/>
                <w:sz w:val="20"/>
                <w:szCs w:val="20"/>
              </w:rPr>
            </w:pPr>
            <w:r w:rsidRPr="00C74C66">
              <w:rPr>
                <w:i/>
                <w:sz w:val="20"/>
                <w:szCs w:val="20"/>
              </w:rPr>
              <w:t>97500,0</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i/>
                <w:sz w:val="20"/>
                <w:szCs w:val="20"/>
              </w:rPr>
            </w:pPr>
            <w:r w:rsidRPr="00C74C66">
              <w:rPr>
                <w:i/>
                <w:sz w:val="20"/>
                <w:szCs w:val="20"/>
              </w:rPr>
              <w:t>102382,0</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rPr>
                <w:i/>
                <w:sz w:val="20"/>
                <w:szCs w:val="20"/>
              </w:rPr>
            </w:pPr>
            <w:r w:rsidRPr="00C74C66">
              <w:rPr>
                <w:i/>
                <w:sz w:val="20"/>
                <w:szCs w:val="20"/>
              </w:rPr>
              <w:t>4882,0</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rPr>
                <w:i/>
                <w:sz w:val="20"/>
                <w:szCs w:val="20"/>
              </w:rPr>
            </w:pPr>
            <w:r w:rsidRPr="00C74C66">
              <w:rPr>
                <w:i/>
                <w:sz w:val="20"/>
                <w:szCs w:val="20"/>
              </w:rPr>
              <w:t>105,0</w:t>
            </w:r>
          </w:p>
        </w:tc>
      </w:tr>
      <w:tr w:rsidR="00C74C66" w:rsidRPr="00C74C66" w:rsidTr="002F34D0">
        <w:trPr>
          <w:trHeight w:val="18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tabs>
                <w:tab w:val="left" w:pos="1135"/>
              </w:tabs>
              <w:ind w:right="57"/>
              <w:rPr>
                <w:i/>
                <w:sz w:val="20"/>
                <w:szCs w:val="20"/>
              </w:rPr>
            </w:pPr>
            <w:r w:rsidRPr="00C74C66">
              <w:rPr>
                <w:i/>
                <w:sz w:val="20"/>
                <w:szCs w:val="20"/>
              </w:rPr>
              <w:t xml:space="preserve"> транспортний податок</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rPr>
                <w:i/>
                <w:sz w:val="20"/>
                <w:szCs w:val="20"/>
              </w:rPr>
            </w:pPr>
            <w:r w:rsidRPr="00C74C66">
              <w:rPr>
                <w:i/>
                <w:sz w:val="20"/>
                <w:szCs w:val="20"/>
              </w:rPr>
              <w:t>2100</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i/>
                <w:sz w:val="20"/>
                <w:szCs w:val="20"/>
              </w:rPr>
            </w:pPr>
            <w:r w:rsidRPr="00C74C66">
              <w:rPr>
                <w:i/>
                <w:sz w:val="20"/>
                <w:szCs w:val="20"/>
              </w:rPr>
              <w:t>3879,3</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rPr>
                <w:i/>
                <w:sz w:val="20"/>
                <w:szCs w:val="20"/>
              </w:rPr>
            </w:pPr>
            <w:r w:rsidRPr="00C74C66">
              <w:rPr>
                <w:i/>
                <w:sz w:val="20"/>
                <w:szCs w:val="20"/>
              </w:rPr>
              <w:t>1779,3</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rPr>
                <w:i/>
                <w:sz w:val="20"/>
                <w:szCs w:val="20"/>
              </w:rPr>
            </w:pPr>
            <w:r w:rsidRPr="00C74C66">
              <w:rPr>
                <w:i/>
                <w:sz w:val="20"/>
                <w:szCs w:val="20"/>
              </w:rPr>
              <w:t>184,7</w:t>
            </w:r>
          </w:p>
        </w:tc>
      </w:tr>
      <w:tr w:rsidR="00C74C66" w:rsidRPr="00C74C66" w:rsidTr="002F34D0">
        <w:trPr>
          <w:trHeight w:val="18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tabs>
                <w:tab w:val="left" w:pos="1135"/>
              </w:tabs>
              <w:ind w:right="57"/>
              <w:rPr>
                <w:sz w:val="20"/>
                <w:szCs w:val="20"/>
                <w:highlight w:val="yellow"/>
              </w:rPr>
            </w:pPr>
            <w:r w:rsidRPr="00C74C66">
              <w:rPr>
                <w:sz w:val="20"/>
                <w:szCs w:val="20"/>
              </w:rPr>
              <w:t>2) єдиний податок</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sz w:val="20"/>
                <w:szCs w:val="20"/>
              </w:rPr>
            </w:pPr>
            <w:r w:rsidRPr="00C74C66">
              <w:rPr>
                <w:sz w:val="20"/>
                <w:szCs w:val="20"/>
              </w:rPr>
              <w:t>79500,0</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104269,6</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sz w:val="20"/>
                <w:szCs w:val="20"/>
              </w:rPr>
            </w:pPr>
            <w:r w:rsidRPr="00C74C66">
              <w:rPr>
                <w:sz w:val="20"/>
                <w:szCs w:val="20"/>
              </w:rPr>
              <w:t>24769,6</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sz w:val="20"/>
                <w:szCs w:val="20"/>
              </w:rPr>
            </w:pPr>
            <w:r w:rsidRPr="00C74C66">
              <w:rPr>
                <w:sz w:val="20"/>
                <w:szCs w:val="20"/>
              </w:rPr>
              <w:t>131,2</w:t>
            </w:r>
          </w:p>
        </w:tc>
      </w:tr>
      <w:tr w:rsidR="00C74C66" w:rsidRPr="00C74C66" w:rsidTr="002F34D0">
        <w:trPr>
          <w:trHeight w:val="18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ind w:left="57" w:right="57" w:hanging="57"/>
              <w:rPr>
                <w:b/>
                <w:sz w:val="20"/>
                <w:szCs w:val="20"/>
              </w:rPr>
            </w:pPr>
            <w:r w:rsidRPr="00C74C66">
              <w:rPr>
                <w:b/>
                <w:sz w:val="20"/>
                <w:szCs w:val="20"/>
              </w:rPr>
              <w:t>Екологічний податок</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7500,0</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6768,9</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-731,1</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90,3</w:t>
            </w:r>
          </w:p>
        </w:tc>
      </w:tr>
      <w:tr w:rsidR="00C74C66" w:rsidRPr="00C74C66" w:rsidTr="002F34D0">
        <w:trPr>
          <w:trHeight w:val="18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ind w:left="57" w:right="57" w:hanging="57"/>
              <w:rPr>
                <w:b/>
                <w:sz w:val="20"/>
                <w:szCs w:val="20"/>
              </w:rPr>
            </w:pPr>
            <w:r w:rsidRPr="00C74C66">
              <w:rPr>
                <w:b/>
                <w:sz w:val="20"/>
                <w:szCs w:val="20"/>
              </w:rPr>
              <w:t>Плата за розміщення тимчасово вільних коштів</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10392,4</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19275,4</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8883,0</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185,5</w:t>
            </w:r>
          </w:p>
        </w:tc>
      </w:tr>
      <w:tr w:rsidR="00C74C66" w:rsidRPr="00C74C66" w:rsidTr="002F34D0">
        <w:trPr>
          <w:trHeight w:val="18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b/>
                <w:sz w:val="20"/>
                <w:szCs w:val="20"/>
              </w:rPr>
            </w:pPr>
            <w:r w:rsidRPr="00C74C66">
              <w:rPr>
                <w:b/>
                <w:sz w:val="20"/>
                <w:szCs w:val="20"/>
              </w:rPr>
              <w:t xml:space="preserve">Інші надходження  </w:t>
            </w:r>
            <w:r w:rsidRPr="00C74C66">
              <w:rPr>
                <w:sz w:val="20"/>
                <w:szCs w:val="20"/>
              </w:rPr>
              <w:t xml:space="preserve">(зовнішня реклама, пайова </w:t>
            </w:r>
            <w:r w:rsidRPr="00C74C66">
              <w:rPr>
                <w:sz w:val="20"/>
                <w:szCs w:val="20"/>
              </w:rPr>
              <w:lastRenderedPageBreak/>
              <w:t>участь за утримання об’єктів благоустрою, повернення коштів бюджетних установ)</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lastRenderedPageBreak/>
              <w:t>4200,0</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4790,2</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590,2</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114,1</w:t>
            </w:r>
          </w:p>
        </w:tc>
      </w:tr>
      <w:tr w:rsidR="00C74C66" w:rsidRPr="00C74C66" w:rsidTr="002F34D0">
        <w:trPr>
          <w:trHeight w:val="18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b/>
                <w:sz w:val="20"/>
                <w:szCs w:val="20"/>
              </w:rPr>
            </w:pPr>
            <w:r w:rsidRPr="00C74C66">
              <w:rPr>
                <w:b/>
                <w:sz w:val="20"/>
                <w:szCs w:val="20"/>
              </w:rPr>
              <w:lastRenderedPageBreak/>
              <w:t>Плата за оренду комунального майна</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6900,0</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8872,3</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1972,3</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128,6</w:t>
            </w:r>
          </w:p>
        </w:tc>
      </w:tr>
      <w:tr w:rsidR="00C74C66" w:rsidRPr="00C74C66" w:rsidTr="002F34D0">
        <w:trPr>
          <w:trHeight w:val="18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ind w:left="57" w:right="57" w:hanging="57"/>
              <w:rPr>
                <w:b/>
                <w:sz w:val="20"/>
                <w:szCs w:val="20"/>
              </w:rPr>
            </w:pPr>
            <w:r w:rsidRPr="00C74C66">
              <w:rPr>
                <w:b/>
                <w:sz w:val="20"/>
                <w:szCs w:val="20"/>
              </w:rPr>
              <w:t>Плата за надання інших адміністративних послуг (</w:t>
            </w:r>
            <w:r w:rsidRPr="00C74C66">
              <w:rPr>
                <w:sz w:val="20"/>
                <w:szCs w:val="20"/>
              </w:rPr>
              <w:t>міграційної служби, МВС, земельних та лісових ресурсів, сан-епідемічних та фіто- санітарних служб)</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9000,0</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9902,8</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902,8</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110,0</w:t>
            </w:r>
          </w:p>
        </w:tc>
      </w:tr>
      <w:tr w:rsidR="00C74C66" w:rsidRPr="00C74C66" w:rsidTr="002F34D0">
        <w:trPr>
          <w:trHeight w:val="18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ind w:left="57" w:right="57" w:hanging="57"/>
              <w:rPr>
                <w:b/>
                <w:sz w:val="20"/>
                <w:szCs w:val="20"/>
              </w:rPr>
            </w:pPr>
            <w:r w:rsidRPr="00C74C66">
              <w:rPr>
                <w:b/>
                <w:sz w:val="20"/>
                <w:szCs w:val="20"/>
              </w:rPr>
              <w:t>Державне мито</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7100,0</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7235,7</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135,7</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101,9</w:t>
            </w:r>
          </w:p>
        </w:tc>
      </w:tr>
      <w:tr w:rsidR="00C74C66" w:rsidRPr="00C74C66" w:rsidTr="002F34D0">
        <w:trPr>
          <w:trHeight w:val="18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ind w:left="57" w:right="57" w:hanging="57"/>
              <w:rPr>
                <w:b/>
                <w:sz w:val="20"/>
                <w:szCs w:val="20"/>
              </w:rPr>
            </w:pPr>
            <w:r w:rsidRPr="00C74C66">
              <w:rPr>
                <w:b/>
                <w:sz w:val="20"/>
                <w:szCs w:val="20"/>
              </w:rPr>
              <w:t>Податок на прибуток підприємств та фінансових установ комунальної власності</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-522,9</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-522,9</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highlight w:val="yellow"/>
              </w:rPr>
            </w:pPr>
          </w:p>
        </w:tc>
      </w:tr>
      <w:tr w:rsidR="00C74C66" w:rsidRPr="00C74C66" w:rsidTr="002F34D0">
        <w:trPr>
          <w:trHeight w:val="18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74C66" w:rsidRPr="00C74C66" w:rsidRDefault="00C74C66" w:rsidP="00C74C66">
            <w:pPr>
              <w:ind w:left="57" w:right="57" w:hanging="57"/>
              <w:rPr>
                <w:b/>
                <w:sz w:val="20"/>
                <w:szCs w:val="20"/>
                <w:highlight w:val="yellow"/>
              </w:rPr>
            </w:pPr>
            <w:r w:rsidRPr="00C74C66">
              <w:rPr>
                <w:b/>
                <w:sz w:val="20"/>
                <w:szCs w:val="20"/>
              </w:rPr>
              <w:t>Інші податки і збори</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442,5</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738,7</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296,2</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166,9</w:t>
            </w:r>
          </w:p>
        </w:tc>
      </w:tr>
      <w:tr w:rsidR="00C74C66" w:rsidRPr="00C74C66" w:rsidTr="002F34D0">
        <w:trPr>
          <w:trHeight w:val="346"/>
        </w:trPr>
        <w:tc>
          <w:tcPr>
            <w:tcW w:w="43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spacing w:before="60"/>
              <w:jc w:val="center"/>
              <w:rPr>
                <w:i/>
                <w:sz w:val="20"/>
                <w:szCs w:val="20"/>
              </w:rPr>
            </w:pPr>
            <w:r w:rsidRPr="00C74C66">
              <w:rPr>
                <w:b/>
                <w:sz w:val="20"/>
                <w:szCs w:val="20"/>
                <w:lang w:val="x-none"/>
              </w:rPr>
              <w:t>Всього доходів</w:t>
            </w:r>
            <w:r w:rsidRPr="00C74C66">
              <w:rPr>
                <w:rFonts w:ascii="Courier New" w:hAnsi="Courier New"/>
                <w:b/>
                <w:sz w:val="20"/>
                <w:szCs w:val="20"/>
                <w:lang w:val="x-none"/>
              </w:rPr>
              <w:t xml:space="preserve"> </w:t>
            </w:r>
            <w:r w:rsidRPr="00C74C66">
              <w:rPr>
                <w:i/>
                <w:sz w:val="20"/>
                <w:szCs w:val="20"/>
              </w:rPr>
              <w:t>(без офіційних трансфертів)</w:t>
            </w:r>
          </w:p>
          <w:p w:rsidR="00C74C66" w:rsidRPr="00C74C66" w:rsidRDefault="00C74C66" w:rsidP="00C74C66">
            <w:pPr>
              <w:ind w:right="57"/>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609804,9</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jc w:val="center"/>
              <w:rPr>
                <w:b/>
                <w:sz w:val="20"/>
                <w:szCs w:val="20"/>
              </w:rPr>
            </w:pPr>
            <w:r w:rsidRPr="00C74C66">
              <w:rPr>
                <w:b/>
                <w:sz w:val="20"/>
                <w:szCs w:val="20"/>
              </w:rPr>
              <w:t>723400,6</w:t>
            </w:r>
          </w:p>
        </w:tc>
        <w:tc>
          <w:tcPr>
            <w:tcW w:w="14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113595,7</w:t>
            </w:r>
          </w:p>
        </w:tc>
        <w:tc>
          <w:tcPr>
            <w:tcW w:w="160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11"/>
              <w:jc w:val="center"/>
              <w:rPr>
                <w:b/>
                <w:sz w:val="20"/>
                <w:szCs w:val="20"/>
              </w:rPr>
            </w:pPr>
            <w:r w:rsidRPr="00C74C66">
              <w:rPr>
                <w:b/>
                <w:sz w:val="20"/>
                <w:szCs w:val="20"/>
              </w:rPr>
              <w:t>118,6</w:t>
            </w:r>
          </w:p>
        </w:tc>
      </w:tr>
    </w:tbl>
    <w:p w:rsidR="00C74C66" w:rsidRPr="00C74C66" w:rsidRDefault="00C74C66" w:rsidP="00C74C66">
      <w:pPr>
        <w:rPr>
          <w:b/>
          <w:lang w:val="x-none"/>
        </w:rPr>
      </w:pPr>
      <w:r w:rsidRPr="00C74C66">
        <w:rPr>
          <w:b/>
          <w:lang w:val="x-none"/>
        </w:rPr>
        <w:t>Аналіз надходжень податків і зборів за 2015 рік в порівнянні з надходженнями за 2014 рік</w:t>
      </w:r>
    </w:p>
    <w:p w:rsidR="00C74C66" w:rsidRPr="00C74C66" w:rsidRDefault="00C74C66" w:rsidP="00C74C66">
      <w:pPr>
        <w:ind w:firstLine="540"/>
        <w:jc w:val="right"/>
        <w:rPr>
          <w:lang w:val="x-none"/>
        </w:rPr>
      </w:pPr>
      <w:r w:rsidRPr="00C74C66">
        <w:rPr>
          <w:rFonts w:ascii="Courier New" w:hAnsi="Courier New"/>
          <w:lang w:val="x-none"/>
        </w:rPr>
        <w:t xml:space="preserve">                                              </w:t>
      </w:r>
      <w:r w:rsidRPr="00C74C66">
        <w:rPr>
          <w:lang w:val="x-none"/>
        </w:rPr>
        <w:t>тис.грн.</w:t>
      </w:r>
    </w:p>
    <w:tbl>
      <w:tblPr>
        <w:tblW w:w="9699"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4"/>
        <w:gridCol w:w="1843"/>
        <w:gridCol w:w="1701"/>
        <w:gridCol w:w="1417"/>
        <w:gridCol w:w="1194"/>
      </w:tblGrid>
      <w:tr w:rsidR="00C74C66" w:rsidRPr="00C74C66" w:rsidTr="002F34D0">
        <w:trPr>
          <w:trHeight w:val="1150"/>
        </w:trPr>
        <w:tc>
          <w:tcPr>
            <w:tcW w:w="3544" w:type="dxa"/>
            <w:tcBorders>
              <w:top w:val="single" w:sz="4" w:space="0" w:color="auto"/>
              <w:left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firstLine="540"/>
              <w:jc w:val="center"/>
              <w:rPr>
                <w:b/>
                <w:sz w:val="20"/>
                <w:szCs w:val="20"/>
              </w:rPr>
            </w:pPr>
            <w:r w:rsidRPr="00C74C66">
              <w:rPr>
                <w:b/>
                <w:sz w:val="20"/>
                <w:szCs w:val="20"/>
              </w:rPr>
              <w:t>Назва податку</w:t>
            </w:r>
          </w:p>
        </w:tc>
        <w:tc>
          <w:tcPr>
            <w:tcW w:w="1843" w:type="dxa"/>
            <w:tcBorders>
              <w:top w:val="single" w:sz="4" w:space="0" w:color="auto"/>
              <w:left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Фактичні надходження за 2014 ріку у співставних умовах 2015року</w:t>
            </w:r>
          </w:p>
        </w:tc>
        <w:tc>
          <w:tcPr>
            <w:tcW w:w="1701" w:type="dxa"/>
            <w:tcBorders>
              <w:top w:val="single" w:sz="4" w:space="0" w:color="auto"/>
              <w:left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Фактичні надходження за 2015 рік</w:t>
            </w:r>
          </w:p>
        </w:tc>
        <w:tc>
          <w:tcPr>
            <w:tcW w:w="1417" w:type="dxa"/>
            <w:tcBorders>
              <w:top w:val="single" w:sz="4" w:space="0" w:color="auto"/>
              <w:left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right="57"/>
              <w:rPr>
                <w:b/>
                <w:sz w:val="20"/>
                <w:szCs w:val="20"/>
              </w:rPr>
            </w:pPr>
            <w:r w:rsidRPr="00C74C66">
              <w:rPr>
                <w:b/>
                <w:sz w:val="20"/>
                <w:szCs w:val="20"/>
              </w:rPr>
              <w:t xml:space="preserve"> Відхилення  (2015 рік /2014 рік)</w:t>
            </w:r>
          </w:p>
        </w:tc>
        <w:tc>
          <w:tcPr>
            <w:tcW w:w="1194" w:type="dxa"/>
            <w:tcBorders>
              <w:top w:val="single" w:sz="4" w:space="0" w:color="auto"/>
              <w:left w:val="single" w:sz="4" w:space="0" w:color="auto"/>
              <w:right w:val="single" w:sz="4" w:space="0" w:color="auto"/>
            </w:tcBorders>
            <w:vAlign w:val="center"/>
          </w:tcPr>
          <w:p w:rsidR="00C74C66" w:rsidRPr="00C74C66" w:rsidRDefault="00C74C66" w:rsidP="00C74C66">
            <w:pPr>
              <w:ind w:left="57" w:right="57"/>
              <w:jc w:val="center"/>
              <w:rPr>
                <w:b/>
                <w:sz w:val="20"/>
                <w:szCs w:val="20"/>
              </w:rPr>
            </w:pPr>
            <w:r w:rsidRPr="00C74C66">
              <w:rPr>
                <w:b/>
                <w:sz w:val="20"/>
                <w:szCs w:val="20"/>
              </w:rPr>
              <w:t xml:space="preserve">Відсоток </w:t>
            </w:r>
          </w:p>
        </w:tc>
      </w:tr>
      <w:tr w:rsidR="00C74C66" w:rsidRPr="00C74C66" w:rsidTr="002F34D0">
        <w:trPr>
          <w:trHeight w:val="236"/>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sz w:val="20"/>
                <w:szCs w:val="20"/>
              </w:rPr>
            </w:pPr>
            <w:r w:rsidRPr="00C74C66">
              <w:rPr>
                <w:sz w:val="20"/>
                <w:szCs w:val="20"/>
              </w:rPr>
              <w:t>Податок на доходи фізичних осіб в умовах 2015р.(60%)</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312071,0</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372804,5</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sz w:val="20"/>
                <w:szCs w:val="20"/>
              </w:rPr>
            </w:pPr>
            <w:r w:rsidRPr="00C74C66">
              <w:rPr>
                <w:sz w:val="20"/>
                <w:szCs w:val="20"/>
              </w:rPr>
              <w:t xml:space="preserve">     60733,5</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sz w:val="20"/>
                <w:szCs w:val="20"/>
              </w:rPr>
            </w:pPr>
            <w:r w:rsidRPr="00C74C66">
              <w:rPr>
                <w:sz w:val="20"/>
                <w:szCs w:val="20"/>
              </w:rPr>
              <w:t>119,5</w:t>
            </w:r>
          </w:p>
        </w:tc>
      </w:tr>
      <w:tr w:rsidR="00C74C66" w:rsidRPr="00C74C66" w:rsidTr="002F34D0">
        <w:trPr>
          <w:trHeight w:val="510"/>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17" w:right="57" w:firstLine="17"/>
              <w:rPr>
                <w:sz w:val="20"/>
                <w:szCs w:val="20"/>
              </w:rPr>
            </w:pPr>
            <w:r w:rsidRPr="00C74C66">
              <w:rPr>
                <w:sz w:val="20"/>
                <w:szCs w:val="20"/>
              </w:rPr>
              <w:t>Податок на прибуток підприємств та фінансових установ комунальної власності</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-1180,4</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-522,9</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657,5</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sz w:val="20"/>
                <w:szCs w:val="20"/>
              </w:rPr>
            </w:pPr>
          </w:p>
        </w:tc>
      </w:tr>
      <w:tr w:rsidR="00C74C66" w:rsidRPr="00C74C66" w:rsidTr="002F34D0">
        <w:trPr>
          <w:trHeight w:val="314"/>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sz w:val="20"/>
                <w:szCs w:val="20"/>
              </w:rPr>
            </w:pPr>
            <w:r w:rsidRPr="00C74C66">
              <w:rPr>
                <w:sz w:val="20"/>
                <w:szCs w:val="20"/>
              </w:rPr>
              <w:t>МІСЦЕВІ ПОДАТКИ І ЗБОРИ</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172430,8</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sz w:val="20"/>
                <w:szCs w:val="20"/>
              </w:rPr>
            </w:pPr>
            <w:r w:rsidRPr="00C74C66">
              <w:rPr>
                <w:sz w:val="20"/>
                <w:szCs w:val="20"/>
              </w:rPr>
              <w:t xml:space="preserve">         223108,6</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50677,8</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sz w:val="20"/>
                <w:szCs w:val="20"/>
              </w:rPr>
            </w:pPr>
            <w:r w:rsidRPr="00C74C66">
              <w:rPr>
                <w:sz w:val="20"/>
                <w:szCs w:val="20"/>
              </w:rPr>
              <w:t>129,4</w:t>
            </w:r>
          </w:p>
        </w:tc>
      </w:tr>
      <w:tr w:rsidR="00C74C66" w:rsidRPr="00C74C66" w:rsidTr="002F34D0">
        <w:trPr>
          <w:trHeight w:val="314"/>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i/>
                <w:sz w:val="20"/>
                <w:szCs w:val="20"/>
              </w:rPr>
            </w:pPr>
            <w:r w:rsidRPr="00C74C66">
              <w:rPr>
                <w:i/>
                <w:sz w:val="20"/>
                <w:szCs w:val="20"/>
              </w:rPr>
              <w:t>Податок на нерухоме майно</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466,0</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i/>
                <w:sz w:val="20"/>
                <w:szCs w:val="20"/>
              </w:rPr>
            </w:pPr>
            <w:r w:rsidRPr="00C74C66">
              <w:rPr>
                <w:i/>
                <w:sz w:val="20"/>
                <w:szCs w:val="20"/>
              </w:rPr>
              <w:t xml:space="preserve">          13340,1</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12874,1</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i/>
                <w:sz w:val="20"/>
                <w:szCs w:val="20"/>
              </w:rPr>
            </w:pPr>
            <w:r w:rsidRPr="00C74C66">
              <w:rPr>
                <w:i/>
                <w:sz w:val="20"/>
                <w:szCs w:val="20"/>
              </w:rPr>
              <w:t>2862,7</w:t>
            </w:r>
          </w:p>
        </w:tc>
      </w:tr>
      <w:tr w:rsidR="00C74C66" w:rsidRPr="00C74C66" w:rsidTr="002F34D0">
        <w:trPr>
          <w:trHeight w:val="314"/>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i/>
                <w:sz w:val="20"/>
                <w:szCs w:val="20"/>
              </w:rPr>
            </w:pPr>
            <w:r w:rsidRPr="00C74C66">
              <w:rPr>
                <w:i/>
                <w:sz w:val="20"/>
                <w:szCs w:val="20"/>
              </w:rPr>
              <w:t>Плата за землю</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82040,5</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102382,0</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20341,5</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i/>
                <w:sz w:val="20"/>
                <w:szCs w:val="20"/>
              </w:rPr>
            </w:pPr>
            <w:r w:rsidRPr="00C74C66">
              <w:rPr>
                <w:i/>
                <w:sz w:val="20"/>
                <w:szCs w:val="20"/>
              </w:rPr>
              <w:t>124,8</w:t>
            </w:r>
          </w:p>
        </w:tc>
      </w:tr>
      <w:tr w:rsidR="00C74C66" w:rsidRPr="00C74C66" w:rsidTr="002F34D0">
        <w:trPr>
          <w:trHeight w:val="251"/>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i/>
                <w:sz w:val="20"/>
                <w:szCs w:val="20"/>
              </w:rPr>
            </w:pPr>
            <w:r w:rsidRPr="00C74C66">
              <w:rPr>
                <w:i/>
                <w:sz w:val="20"/>
                <w:szCs w:val="20"/>
              </w:rPr>
              <w:t>Транспортний податок</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3879,3</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3879,3</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i/>
                <w:sz w:val="20"/>
                <w:szCs w:val="20"/>
              </w:rPr>
            </w:pPr>
          </w:p>
        </w:tc>
      </w:tr>
      <w:tr w:rsidR="00C74C66" w:rsidRPr="00C74C66" w:rsidTr="002F34D0">
        <w:trPr>
          <w:trHeight w:val="251"/>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i/>
                <w:sz w:val="20"/>
                <w:szCs w:val="20"/>
              </w:rPr>
            </w:pPr>
            <w:r w:rsidRPr="00C74C66">
              <w:rPr>
                <w:i/>
                <w:sz w:val="20"/>
                <w:szCs w:val="20"/>
              </w:rPr>
              <w:t>Туристичний збір</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70,1</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76,6</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6,5</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i/>
                <w:sz w:val="20"/>
                <w:szCs w:val="20"/>
              </w:rPr>
            </w:pPr>
            <w:r w:rsidRPr="00C74C66">
              <w:rPr>
                <w:i/>
                <w:sz w:val="20"/>
                <w:szCs w:val="20"/>
              </w:rPr>
              <w:t>109,3</w:t>
            </w:r>
          </w:p>
        </w:tc>
      </w:tr>
      <w:tr w:rsidR="00C74C66" w:rsidRPr="00C74C66" w:rsidTr="002F34D0">
        <w:trPr>
          <w:trHeight w:val="210"/>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i/>
                <w:sz w:val="20"/>
                <w:szCs w:val="20"/>
              </w:rPr>
            </w:pPr>
            <w:r w:rsidRPr="00C74C66">
              <w:rPr>
                <w:i/>
                <w:sz w:val="20"/>
                <w:szCs w:val="20"/>
              </w:rPr>
              <w:t>Єдиний податок</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83473,5</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104269,6</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20796,1</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i/>
                <w:sz w:val="20"/>
                <w:szCs w:val="20"/>
              </w:rPr>
            </w:pPr>
            <w:r w:rsidRPr="00C74C66">
              <w:rPr>
                <w:i/>
                <w:sz w:val="20"/>
                <w:szCs w:val="20"/>
              </w:rPr>
              <w:t>124,9</w:t>
            </w:r>
          </w:p>
        </w:tc>
      </w:tr>
      <w:tr w:rsidR="00C74C66" w:rsidRPr="00C74C66" w:rsidTr="002F34D0">
        <w:trPr>
          <w:trHeight w:val="342"/>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17" w:right="57"/>
              <w:rPr>
                <w:i/>
                <w:sz w:val="20"/>
                <w:szCs w:val="20"/>
              </w:rPr>
            </w:pPr>
            <w:r w:rsidRPr="00C74C66">
              <w:rPr>
                <w:i/>
                <w:sz w:val="20"/>
                <w:szCs w:val="20"/>
              </w:rPr>
              <w:t>Збір за провадження деяких видів підприємницької діяльності, що справлявся до 1 січня 2015р.</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6380,7</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-839,0</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-7219,7</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sz w:val="20"/>
                <w:szCs w:val="20"/>
              </w:rPr>
            </w:pPr>
            <w:r w:rsidRPr="00C74C66">
              <w:rPr>
                <w:sz w:val="20"/>
                <w:szCs w:val="20"/>
              </w:rPr>
              <w:t>-13,1</w:t>
            </w:r>
          </w:p>
        </w:tc>
      </w:tr>
      <w:tr w:rsidR="00C74C66" w:rsidRPr="00C74C66" w:rsidTr="002F34D0">
        <w:trPr>
          <w:trHeight w:val="210"/>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i/>
                <w:sz w:val="20"/>
                <w:szCs w:val="20"/>
              </w:rPr>
            </w:pPr>
            <w:r w:rsidRPr="00C74C66">
              <w:rPr>
                <w:i/>
                <w:sz w:val="20"/>
                <w:szCs w:val="20"/>
              </w:rPr>
              <w:t>Екологічний податок</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9077,8</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6768,9</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i/>
                <w:sz w:val="20"/>
                <w:szCs w:val="20"/>
              </w:rPr>
            </w:pPr>
            <w:r w:rsidRPr="00C74C66">
              <w:rPr>
                <w:i/>
                <w:sz w:val="20"/>
                <w:szCs w:val="20"/>
              </w:rPr>
              <w:t>-2308,9</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i/>
                <w:sz w:val="20"/>
                <w:szCs w:val="20"/>
              </w:rPr>
            </w:pPr>
            <w:r w:rsidRPr="00C74C66">
              <w:rPr>
                <w:i/>
                <w:sz w:val="20"/>
                <w:szCs w:val="20"/>
              </w:rPr>
              <w:t>74,6</w:t>
            </w:r>
          </w:p>
        </w:tc>
      </w:tr>
      <w:tr w:rsidR="00C74C66" w:rsidRPr="00C74C66" w:rsidTr="002F34D0">
        <w:trPr>
          <w:trHeight w:val="342"/>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17" w:right="57"/>
              <w:rPr>
                <w:sz w:val="20"/>
                <w:szCs w:val="20"/>
              </w:rPr>
            </w:pPr>
            <w:r w:rsidRPr="00C74C66">
              <w:rPr>
                <w:sz w:val="20"/>
                <w:szCs w:val="20"/>
              </w:rPr>
              <w:t>Плата за оренду комунального майна</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7153,3</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8872,3</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1719,0</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sz w:val="20"/>
                <w:szCs w:val="20"/>
              </w:rPr>
            </w:pPr>
            <w:r w:rsidRPr="00C74C66">
              <w:rPr>
                <w:sz w:val="20"/>
                <w:szCs w:val="20"/>
              </w:rPr>
              <w:t>124,0</w:t>
            </w:r>
          </w:p>
        </w:tc>
      </w:tr>
      <w:tr w:rsidR="00C74C66" w:rsidRPr="00C74C66" w:rsidTr="002F34D0">
        <w:trPr>
          <w:trHeight w:val="251"/>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sz w:val="20"/>
                <w:szCs w:val="20"/>
              </w:rPr>
            </w:pPr>
            <w:r w:rsidRPr="00C74C66">
              <w:rPr>
                <w:sz w:val="20"/>
                <w:szCs w:val="20"/>
              </w:rPr>
              <w:t>Державне мито</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1075,4</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7235,7</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6160,3</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sz w:val="20"/>
                <w:szCs w:val="20"/>
              </w:rPr>
            </w:pPr>
            <w:r w:rsidRPr="00C74C66">
              <w:rPr>
                <w:sz w:val="20"/>
                <w:szCs w:val="20"/>
              </w:rPr>
              <w:t>672,8</w:t>
            </w:r>
          </w:p>
        </w:tc>
      </w:tr>
      <w:tr w:rsidR="00C74C66" w:rsidRPr="00C74C66" w:rsidTr="002F34D0">
        <w:trPr>
          <w:trHeight w:val="251"/>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sz w:val="20"/>
                <w:szCs w:val="20"/>
              </w:rPr>
            </w:pPr>
            <w:r w:rsidRPr="00C74C66">
              <w:rPr>
                <w:sz w:val="20"/>
                <w:szCs w:val="20"/>
              </w:rPr>
              <w:t>Плата за розміщення тимчасово вільних коштів</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0</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19275,4</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19275,4</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sz w:val="20"/>
                <w:szCs w:val="20"/>
              </w:rPr>
            </w:pPr>
          </w:p>
        </w:tc>
      </w:tr>
      <w:tr w:rsidR="00C74C66" w:rsidRPr="00C74C66" w:rsidTr="002F34D0">
        <w:trPr>
          <w:trHeight w:val="254"/>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sz w:val="20"/>
                <w:szCs w:val="20"/>
                <w:highlight w:val="yellow"/>
              </w:rPr>
            </w:pPr>
            <w:r w:rsidRPr="00C74C66">
              <w:rPr>
                <w:sz w:val="20"/>
                <w:szCs w:val="20"/>
              </w:rPr>
              <w:t>Інші надходження  (зовнішня реклама, пайова участь за утримання об’єктів благоустрою, повернення коштів бюджетних установ)</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4202,1</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4790,2</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558,1</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sz w:val="20"/>
                <w:szCs w:val="20"/>
              </w:rPr>
            </w:pPr>
            <w:r w:rsidRPr="00C74C66">
              <w:rPr>
                <w:sz w:val="20"/>
                <w:szCs w:val="20"/>
              </w:rPr>
              <w:t>114,0</w:t>
            </w:r>
          </w:p>
        </w:tc>
      </w:tr>
      <w:tr w:rsidR="00C74C66" w:rsidRPr="00C74C66" w:rsidTr="002F34D0">
        <w:trPr>
          <w:trHeight w:val="254"/>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sz w:val="20"/>
                <w:szCs w:val="20"/>
              </w:rPr>
            </w:pPr>
            <w:r w:rsidRPr="00C74C66">
              <w:rPr>
                <w:sz w:val="20"/>
                <w:szCs w:val="20"/>
              </w:rPr>
              <w:t>Акцизний податок</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70426,4</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70426,4</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sz w:val="20"/>
                <w:szCs w:val="20"/>
              </w:rPr>
            </w:pPr>
          </w:p>
        </w:tc>
      </w:tr>
      <w:tr w:rsidR="00C74C66" w:rsidRPr="00C74C66" w:rsidTr="002F34D0">
        <w:trPr>
          <w:trHeight w:val="254"/>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sz w:val="20"/>
                <w:szCs w:val="20"/>
              </w:rPr>
            </w:pPr>
            <w:r w:rsidRPr="00C74C66">
              <w:rPr>
                <w:sz w:val="20"/>
                <w:szCs w:val="20"/>
              </w:rPr>
              <w:t>Плата за надання інших адміністративних послуг (міграційної служби, МВС, земельних та лісових ресурсів, сан-епідемічних та фіто- санітарних служб)</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9902,8</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9902,8</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sz w:val="20"/>
                <w:szCs w:val="20"/>
              </w:rPr>
            </w:pPr>
          </w:p>
        </w:tc>
      </w:tr>
      <w:tr w:rsidR="00C74C66" w:rsidRPr="00C74C66" w:rsidTr="002F34D0">
        <w:trPr>
          <w:trHeight w:val="254"/>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rPr>
                <w:sz w:val="20"/>
                <w:szCs w:val="20"/>
              </w:rPr>
            </w:pPr>
            <w:r w:rsidRPr="00C74C66">
              <w:rPr>
                <w:sz w:val="20"/>
                <w:szCs w:val="20"/>
              </w:rPr>
              <w:t>Інші податки і збори</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546,6</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738,7</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sz w:val="20"/>
                <w:szCs w:val="20"/>
              </w:rPr>
            </w:pPr>
            <w:r w:rsidRPr="00C74C66">
              <w:rPr>
                <w:sz w:val="20"/>
                <w:szCs w:val="20"/>
              </w:rPr>
              <w:t>192,1</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sz w:val="20"/>
                <w:szCs w:val="20"/>
              </w:rPr>
            </w:pPr>
            <w:r w:rsidRPr="00C74C66">
              <w:rPr>
                <w:sz w:val="20"/>
                <w:szCs w:val="20"/>
              </w:rPr>
              <w:t>135,1</w:t>
            </w:r>
          </w:p>
        </w:tc>
      </w:tr>
      <w:tr w:rsidR="00C74C66" w:rsidRPr="00C74C66" w:rsidTr="002F34D0">
        <w:trPr>
          <w:trHeight w:val="819"/>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spacing w:before="60"/>
              <w:jc w:val="center"/>
              <w:rPr>
                <w:i/>
                <w:sz w:val="20"/>
                <w:szCs w:val="20"/>
              </w:rPr>
            </w:pPr>
            <w:r w:rsidRPr="00C74C66">
              <w:rPr>
                <w:b/>
                <w:sz w:val="20"/>
                <w:szCs w:val="20"/>
                <w:lang w:val="x-none"/>
              </w:rPr>
              <w:t xml:space="preserve">Всього доходів загального фонду (факт 2015 до факту 2014) </w:t>
            </w:r>
            <w:r w:rsidRPr="00C74C66">
              <w:rPr>
                <w:i/>
                <w:sz w:val="20"/>
                <w:szCs w:val="20"/>
              </w:rPr>
              <w:t>(без офіційних трансфертів)</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490485,2</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723400,6</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232915,4</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b/>
                <w:sz w:val="20"/>
                <w:szCs w:val="20"/>
              </w:rPr>
            </w:pPr>
            <w:r w:rsidRPr="00C74C66">
              <w:rPr>
                <w:b/>
                <w:sz w:val="20"/>
                <w:szCs w:val="20"/>
              </w:rPr>
              <w:t>147,5</w:t>
            </w:r>
          </w:p>
        </w:tc>
      </w:tr>
      <w:tr w:rsidR="00C74C66" w:rsidRPr="00C74C66" w:rsidTr="002F34D0">
        <w:trPr>
          <w:trHeight w:val="358"/>
        </w:trPr>
        <w:tc>
          <w:tcPr>
            <w:tcW w:w="354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spacing w:before="60"/>
              <w:jc w:val="center"/>
              <w:rPr>
                <w:i/>
                <w:sz w:val="20"/>
                <w:szCs w:val="20"/>
              </w:rPr>
            </w:pPr>
            <w:r w:rsidRPr="00C74C66">
              <w:rPr>
                <w:b/>
                <w:sz w:val="20"/>
                <w:szCs w:val="20"/>
                <w:lang w:val="x-none"/>
              </w:rPr>
              <w:t>Всього доходів (в умовах 2015 року)</w:t>
            </w:r>
            <w:r w:rsidRPr="00C74C66">
              <w:rPr>
                <w:i/>
                <w:sz w:val="20"/>
                <w:szCs w:val="20"/>
              </w:rPr>
              <w:t xml:space="preserve"> (без офіційних трансфертів)</w:t>
            </w:r>
          </w:p>
        </w:tc>
        <w:tc>
          <w:tcPr>
            <w:tcW w:w="184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505476,6</w:t>
            </w:r>
          </w:p>
        </w:tc>
        <w:tc>
          <w:tcPr>
            <w:tcW w:w="170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right="57"/>
              <w:jc w:val="center"/>
              <w:rPr>
                <w:b/>
                <w:sz w:val="20"/>
                <w:szCs w:val="20"/>
              </w:rPr>
            </w:pPr>
            <w:r w:rsidRPr="00C74C66">
              <w:rPr>
                <w:b/>
                <w:sz w:val="20"/>
                <w:szCs w:val="20"/>
              </w:rPr>
              <w:t>723400,6</w:t>
            </w:r>
          </w:p>
        </w:tc>
        <w:tc>
          <w:tcPr>
            <w:tcW w:w="141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74C66" w:rsidRPr="00C74C66" w:rsidRDefault="00C74C66" w:rsidP="00C74C66">
            <w:pPr>
              <w:ind w:left="57" w:right="57" w:hanging="57"/>
              <w:jc w:val="center"/>
              <w:rPr>
                <w:b/>
                <w:sz w:val="20"/>
                <w:szCs w:val="20"/>
              </w:rPr>
            </w:pPr>
            <w:r w:rsidRPr="00C74C66">
              <w:rPr>
                <w:b/>
                <w:sz w:val="20"/>
                <w:szCs w:val="20"/>
              </w:rPr>
              <w:t>217924,0</w:t>
            </w:r>
          </w:p>
        </w:tc>
        <w:tc>
          <w:tcPr>
            <w:tcW w:w="1194" w:type="dxa"/>
            <w:tcBorders>
              <w:top w:val="single" w:sz="4" w:space="0" w:color="auto"/>
              <w:left w:val="single" w:sz="4" w:space="0" w:color="auto"/>
              <w:bottom w:val="single" w:sz="4" w:space="0" w:color="auto"/>
              <w:right w:val="single" w:sz="4" w:space="0" w:color="auto"/>
            </w:tcBorders>
            <w:vAlign w:val="center"/>
          </w:tcPr>
          <w:p w:rsidR="00C74C66" w:rsidRPr="00C74C66" w:rsidRDefault="00C74C66" w:rsidP="00C74C66">
            <w:pPr>
              <w:ind w:left="57" w:right="57" w:hanging="57"/>
              <w:jc w:val="center"/>
              <w:rPr>
                <w:b/>
                <w:sz w:val="20"/>
                <w:szCs w:val="20"/>
              </w:rPr>
            </w:pPr>
            <w:r w:rsidRPr="00C74C66">
              <w:rPr>
                <w:b/>
                <w:sz w:val="20"/>
                <w:szCs w:val="20"/>
              </w:rPr>
              <w:t>143,1</w:t>
            </w:r>
          </w:p>
        </w:tc>
      </w:tr>
    </w:tbl>
    <w:p w:rsidR="00C74C66" w:rsidRPr="00C74C66" w:rsidRDefault="00C74C66" w:rsidP="00C74C66">
      <w:pPr>
        <w:spacing w:before="60"/>
        <w:ind w:right="-6" w:firstLine="539"/>
        <w:jc w:val="both"/>
        <w:rPr>
          <w:bCs/>
          <w:iCs/>
          <w:u w:val="single"/>
        </w:rPr>
      </w:pPr>
      <w:r w:rsidRPr="00C74C66">
        <w:rPr>
          <w:bCs/>
          <w:iCs/>
          <w:u w:val="single"/>
        </w:rPr>
        <w:t xml:space="preserve">*В 2015 році до загального фонду міського бюджету зараховувалось 60% податку на доходи фізичних осіб (у 2014 -75%); податок на нерухоме майно, єдиний податок та </w:t>
      </w:r>
      <w:r w:rsidRPr="00C74C66">
        <w:rPr>
          <w:bCs/>
          <w:iCs/>
          <w:u w:val="single"/>
        </w:rPr>
        <w:lastRenderedPageBreak/>
        <w:t>екологічний податок (ці три податки зараховувались у 2014 році до спеціального фонду міського бюджету); державне мито (за оформлення закордонних паспортів) та плата за надання інших адміністративних послуг зараховувались у 2014 році до державного бюджету; акцизний податок з реалізації суб’єктами господарювання роздрібної торгівлі підакцизних товарів введений в дію з 01.01.2015.</w:t>
      </w:r>
    </w:p>
    <w:p w:rsidR="00C74C66" w:rsidRPr="00C74C66" w:rsidRDefault="00C74C66" w:rsidP="00C74C66">
      <w:pPr>
        <w:spacing w:before="120"/>
        <w:ind w:right="-6" w:firstLine="539"/>
        <w:jc w:val="center"/>
        <w:rPr>
          <w:rFonts w:eastAsia="MS Mincho"/>
        </w:rPr>
      </w:pPr>
      <w:r w:rsidRPr="00C74C66">
        <w:rPr>
          <w:b/>
          <w:bCs/>
          <w:i/>
          <w:iCs/>
          <w:u w:val="single"/>
        </w:rPr>
        <w:t>Податок на доходи фізичних осіб</w:t>
      </w:r>
      <w:r w:rsidRPr="00C74C66">
        <w:t xml:space="preserve">    </w:t>
      </w:r>
    </w:p>
    <w:p w:rsidR="00C74C66" w:rsidRPr="00C74C66" w:rsidRDefault="00C74C66" w:rsidP="00C74C66">
      <w:pPr>
        <w:spacing w:before="60"/>
        <w:ind w:firstLine="539"/>
        <w:jc w:val="both"/>
      </w:pPr>
      <w:r w:rsidRPr="00C74C66">
        <w:t xml:space="preserve">В 2015 році до бюджету надійшло податку на доходи фізичних осіб у сумі 372804,5 тис.грн., або 119,4 відс. до плану на 2015 року.  </w:t>
      </w:r>
    </w:p>
    <w:p w:rsidR="00C74C66" w:rsidRPr="00C74C66" w:rsidRDefault="00C74C66" w:rsidP="00C74C66">
      <w:pPr>
        <w:ind w:firstLine="540"/>
        <w:jc w:val="both"/>
      </w:pPr>
      <w:r w:rsidRPr="00C74C66">
        <w:rPr>
          <w:lang w:val="x-none"/>
        </w:rPr>
        <w:t xml:space="preserve">В порівнянні з  2014 роком надходження податку на доходи фізичних осіб збільшились на 60733,5 тис.грн., або на 19,5 відс. (в умовах 2015 року).     </w:t>
      </w:r>
    </w:p>
    <w:p w:rsidR="00C74C66" w:rsidRPr="00C74C66" w:rsidRDefault="00C74C66" w:rsidP="00C74C66">
      <w:pPr>
        <w:keepNext/>
        <w:ind w:firstLine="540"/>
        <w:outlineLvl w:val="4"/>
        <w:rPr>
          <w:rFonts w:eastAsia="MS Mincho"/>
          <w:b/>
          <w:bCs/>
          <w:i/>
          <w:iCs/>
          <w:u w:val="single"/>
        </w:rPr>
      </w:pPr>
      <w:r w:rsidRPr="00C74C66">
        <w:rPr>
          <w:rFonts w:eastAsia="MS Mincho"/>
          <w:b/>
          <w:bCs/>
          <w:i/>
          <w:iCs/>
        </w:rPr>
        <w:t xml:space="preserve">                                                     </w:t>
      </w:r>
      <w:r w:rsidRPr="00C74C66">
        <w:rPr>
          <w:rFonts w:eastAsia="MS Mincho"/>
          <w:b/>
          <w:bCs/>
          <w:i/>
          <w:iCs/>
          <w:u w:val="single"/>
        </w:rPr>
        <w:t xml:space="preserve"> Податок на прибуток</w:t>
      </w:r>
    </w:p>
    <w:p w:rsidR="00C74C66" w:rsidRPr="00C74C66" w:rsidRDefault="00C74C66" w:rsidP="00C74C66">
      <w:pPr>
        <w:spacing w:before="60"/>
        <w:ind w:firstLine="539"/>
        <w:jc w:val="both"/>
      </w:pPr>
      <w:r w:rsidRPr="00C74C66">
        <w:rPr>
          <w:rFonts w:eastAsia="MS Mincho"/>
        </w:rPr>
        <w:t>В</w:t>
      </w:r>
      <w:r w:rsidRPr="00C74C66">
        <w:t xml:space="preserve"> 2015 році </w:t>
      </w:r>
      <w:r w:rsidRPr="00C74C66">
        <w:rPr>
          <w:rFonts w:eastAsia="MS Mincho"/>
        </w:rPr>
        <w:t xml:space="preserve">надходження склали – «-» 522,9 тис.грн. </w:t>
      </w:r>
      <w:r w:rsidRPr="00C74C66">
        <w:t>Основні суми сплатили КП «Придніпровська СУБ» – 813,3 тис.грн., КП «Соснівська СУБ» - 232,4 тис.грн., КП «Черкасиводоканал» - 43,4 тис.грн. В той же час за 2015 рік повернуто КПТМ «Черкаситеплокомуненерго» податку на прибуток у сумі 1496,3 тис.грн. (переплати минулих періодів). Крім того, надходження до бюджету частини чистого прибутку склали -</w:t>
      </w:r>
      <w:r w:rsidRPr="00C74C66">
        <w:rPr>
          <w:rFonts w:eastAsia="MS Mincho"/>
        </w:rPr>
        <w:t xml:space="preserve"> </w:t>
      </w:r>
      <w:r w:rsidRPr="00C74C66">
        <w:t xml:space="preserve">0,6 тис.грн. </w:t>
      </w:r>
    </w:p>
    <w:p w:rsidR="00C74C66" w:rsidRPr="00C74C66" w:rsidRDefault="00C74C66" w:rsidP="00C74C66">
      <w:pPr>
        <w:keepNext/>
        <w:ind w:firstLine="540"/>
        <w:outlineLvl w:val="4"/>
        <w:rPr>
          <w:b/>
          <w:bCs/>
          <w:i/>
          <w:u w:val="single"/>
        </w:rPr>
      </w:pPr>
      <w:r w:rsidRPr="00C74C66">
        <w:rPr>
          <w:b/>
          <w:bCs/>
          <w:i/>
        </w:rPr>
        <w:t xml:space="preserve">                                                             </w:t>
      </w:r>
      <w:r w:rsidRPr="00C74C66">
        <w:rPr>
          <w:b/>
          <w:bCs/>
          <w:i/>
          <w:u w:val="single"/>
        </w:rPr>
        <w:t xml:space="preserve"> Акцизний податок</w:t>
      </w:r>
    </w:p>
    <w:p w:rsidR="00C74C66" w:rsidRPr="00C74C66" w:rsidRDefault="00C74C66" w:rsidP="00C74C66">
      <w:pPr>
        <w:tabs>
          <w:tab w:val="left" w:pos="0"/>
          <w:tab w:val="left" w:pos="4680"/>
        </w:tabs>
        <w:spacing w:before="60" w:after="60"/>
        <w:ind w:right="-5" w:firstLine="540"/>
        <w:jc w:val="both"/>
      </w:pPr>
      <w:r w:rsidRPr="00C74C66">
        <w:t>Надходження акцизного податку з реалізації суб’єктами господарювання роздрібної торгівлі підакцизних товарів плати за 2015 рік склали 70426,4 тис.грн., або 113,2 відс. до плану на 2015 рік. Цей податок введений з січня 2015 року.</w:t>
      </w:r>
    </w:p>
    <w:p w:rsidR="00C74C66" w:rsidRPr="00C74C66" w:rsidRDefault="00C74C66" w:rsidP="00C74C66">
      <w:pPr>
        <w:ind w:firstLine="540"/>
        <w:jc w:val="center"/>
        <w:rPr>
          <w:b/>
          <w:bCs/>
          <w:i/>
          <w:iCs/>
          <w:u w:val="single"/>
          <w:lang w:val="x-none"/>
        </w:rPr>
      </w:pPr>
      <w:r w:rsidRPr="00C74C66">
        <w:rPr>
          <w:b/>
          <w:bCs/>
          <w:i/>
          <w:iCs/>
          <w:u w:val="single"/>
          <w:lang w:val="x-none"/>
        </w:rPr>
        <w:t>Місцеві податки і збори</w:t>
      </w:r>
    </w:p>
    <w:p w:rsidR="00C74C66" w:rsidRPr="00C74C66" w:rsidRDefault="00C74C66" w:rsidP="00C74C66">
      <w:pPr>
        <w:widowControl w:val="0"/>
        <w:spacing w:before="60"/>
        <w:ind w:firstLine="539"/>
        <w:jc w:val="both"/>
        <w:rPr>
          <w:snapToGrid w:val="0"/>
          <w:lang w:val="x-none"/>
        </w:rPr>
      </w:pPr>
      <w:r w:rsidRPr="00C74C66">
        <w:rPr>
          <w:rFonts w:eastAsia="MS Mincho"/>
          <w:lang w:val="x-none"/>
        </w:rPr>
        <w:t xml:space="preserve">Податковим кодексом України встановлений </w:t>
      </w:r>
      <w:r w:rsidRPr="00C74C66">
        <w:rPr>
          <w:snapToGrid w:val="0"/>
          <w:lang w:val="x-none"/>
        </w:rPr>
        <w:t>перелік із 4 місцевих податків і зборів, що діють на території України:</w:t>
      </w:r>
    </w:p>
    <w:p w:rsidR="00C74C66" w:rsidRPr="00C74C66" w:rsidRDefault="00C74C66" w:rsidP="00C74C66">
      <w:pPr>
        <w:widowControl w:val="0"/>
        <w:numPr>
          <w:ilvl w:val="0"/>
          <w:numId w:val="3"/>
        </w:numPr>
        <w:tabs>
          <w:tab w:val="clear" w:pos="360"/>
          <w:tab w:val="num" w:pos="720"/>
          <w:tab w:val="num" w:pos="935"/>
        </w:tabs>
        <w:ind w:left="935" w:hanging="84"/>
        <w:jc w:val="both"/>
        <w:rPr>
          <w:snapToGrid w:val="0"/>
        </w:rPr>
      </w:pPr>
      <w:r w:rsidRPr="00C74C66">
        <w:rPr>
          <w:snapToGrid w:val="0"/>
          <w:u w:val="single"/>
        </w:rPr>
        <w:t>Податок на майно</w:t>
      </w:r>
      <w:r w:rsidRPr="00C74C66">
        <w:rPr>
          <w:snapToGrid w:val="0"/>
        </w:rPr>
        <w:t>, який складається з:</w:t>
      </w:r>
    </w:p>
    <w:p w:rsidR="00C74C66" w:rsidRPr="00C74C66" w:rsidRDefault="00C74C66" w:rsidP="00C74C66">
      <w:pPr>
        <w:widowControl w:val="0"/>
        <w:numPr>
          <w:ilvl w:val="0"/>
          <w:numId w:val="5"/>
        </w:numPr>
        <w:jc w:val="both"/>
        <w:rPr>
          <w:i/>
          <w:snapToGrid w:val="0"/>
        </w:rPr>
      </w:pPr>
      <w:r w:rsidRPr="00C74C66">
        <w:rPr>
          <w:i/>
          <w:snapToGrid w:val="0"/>
        </w:rPr>
        <w:t>податку на нерухоме майно, відмінне від земельної ділянки;</w:t>
      </w:r>
    </w:p>
    <w:p w:rsidR="00C74C66" w:rsidRPr="00C74C66" w:rsidRDefault="00C74C66" w:rsidP="00C74C66">
      <w:pPr>
        <w:widowControl w:val="0"/>
        <w:numPr>
          <w:ilvl w:val="0"/>
          <w:numId w:val="5"/>
        </w:numPr>
        <w:tabs>
          <w:tab w:val="num" w:pos="935"/>
        </w:tabs>
        <w:jc w:val="both"/>
        <w:rPr>
          <w:i/>
          <w:snapToGrid w:val="0"/>
        </w:rPr>
      </w:pPr>
      <w:r w:rsidRPr="00C74C66">
        <w:rPr>
          <w:i/>
          <w:snapToGrid w:val="0"/>
        </w:rPr>
        <w:t>плати за землю;</w:t>
      </w:r>
    </w:p>
    <w:p w:rsidR="00C74C66" w:rsidRPr="00C74C66" w:rsidRDefault="00C74C66" w:rsidP="00C74C66">
      <w:pPr>
        <w:widowControl w:val="0"/>
        <w:numPr>
          <w:ilvl w:val="0"/>
          <w:numId w:val="5"/>
        </w:numPr>
        <w:tabs>
          <w:tab w:val="num" w:pos="935"/>
        </w:tabs>
        <w:jc w:val="both"/>
        <w:rPr>
          <w:i/>
          <w:snapToGrid w:val="0"/>
        </w:rPr>
      </w:pPr>
      <w:r w:rsidRPr="00C74C66">
        <w:rPr>
          <w:i/>
          <w:snapToGrid w:val="0"/>
        </w:rPr>
        <w:t>транспортного податку;</w:t>
      </w:r>
    </w:p>
    <w:p w:rsidR="00C74C66" w:rsidRPr="00C74C66" w:rsidRDefault="00C74C66" w:rsidP="00C74C66">
      <w:pPr>
        <w:widowControl w:val="0"/>
        <w:numPr>
          <w:ilvl w:val="0"/>
          <w:numId w:val="3"/>
        </w:numPr>
        <w:tabs>
          <w:tab w:val="clear" w:pos="360"/>
          <w:tab w:val="num" w:pos="720"/>
          <w:tab w:val="num" w:pos="935"/>
        </w:tabs>
        <w:ind w:left="935" w:hanging="84"/>
        <w:jc w:val="both"/>
        <w:rPr>
          <w:snapToGrid w:val="0"/>
          <w:u w:val="single"/>
        </w:rPr>
      </w:pPr>
      <w:r w:rsidRPr="00C74C66">
        <w:rPr>
          <w:snapToGrid w:val="0"/>
          <w:u w:val="single"/>
        </w:rPr>
        <w:t>Єдиний податок;</w:t>
      </w:r>
    </w:p>
    <w:p w:rsidR="00C74C66" w:rsidRPr="00C74C66" w:rsidRDefault="00C74C66" w:rsidP="00C74C66">
      <w:pPr>
        <w:widowControl w:val="0"/>
        <w:numPr>
          <w:ilvl w:val="0"/>
          <w:numId w:val="3"/>
        </w:numPr>
        <w:tabs>
          <w:tab w:val="clear" w:pos="360"/>
          <w:tab w:val="num" w:pos="720"/>
          <w:tab w:val="num" w:pos="935"/>
        </w:tabs>
        <w:ind w:left="935" w:hanging="84"/>
        <w:jc w:val="both"/>
        <w:rPr>
          <w:snapToGrid w:val="0"/>
          <w:u w:val="single"/>
        </w:rPr>
      </w:pPr>
      <w:r w:rsidRPr="00C74C66">
        <w:rPr>
          <w:snapToGrid w:val="0"/>
          <w:u w:val="single"/>
        </w:rPr>
        <w:t>Туристичний збір;</w:t>
      </w:r>
    </w:p>
    <w:p w:rsidR="00C74C66" w:rsidRPr="00C74C66" w:rsidRDefault="00C74C66" w:rsidP="00C74C66">
      <w:pPr>
        <w:widowControl w:val="0"/>
        <w:numPr>
          <w:ilvl w:val="0"/>
          <w:numId w:val="3"/>
        </w:numPr>
        <w:tabs>
          <w:tab w:val="clear" w:pos="360"/>
          <w:tab w:val="num" w:pos="720"/>
          <w:tab w:val="num" w:pos="935"/>
        </w:tabs>
        <w:ind w:left="935" w:hanging="84"/>
        <w:jc w:val="both"/>
        <w:rPr>
          <w:snapToGrid w:val="0"/>
          <w:u w:val="single"/>
        </w:rPr>
      </w:pPr>
      <w:r w:rsidRPr="00C74C66">
        <w:rPr>
          <w:snapToGrid w:val="0"/>
          <w:u w:val="single"/>
        </w:rPr>
        <w:t xml:space="preserve">Збір за місця для паркування транспортних засобів. </w:t>
      </w:r>
    </w:p>
    <w:p w:rsidR="00C74C66" w:rsidRPr="00C74C66" w:rsidRDefault="00C74C66" w:rsidP="00C74C66">
      <w:pPr>
        <w:ind w:firstLine="540"/>
        <w:jc w:val="both"/>
        <w:rPr>
          <w:rFonts w:eastAsia="MS Mincho"/>
          <w:lang w:val="x-none"/>
        </w:rPr>
      </w:pPr>
      <w:r w:rsidRPr="00C74C66">
        <w:rPr>
          <w:rFonts w:eastAsia="MS Mincho"/>
          <w:lang w:val="x-none"/>
        </w:rPr>
        <w:t xml:space="preserve">За </w:t>
      </w:r>
      <w:r w:rsidRPr="00C74C66">
        <w:rPr>
          <w:lang w:val="x-none"/>
        </w:rPr>
        <w:t xml:space="preserve"> 2015 рік</w:t>
      </w:r>
      <w:r w:rsidRPr="00C74C66">
        <w:rPr>
          <w:rFonts w:ascii="Courier New" w:hAnsi="Courier New"/>
          <w:lang w:val="x-none"/>
        </w:rPr>
        <w:t xml:space="preserve"> </w:t>
      </w:r>
      <w:r w:rsidRPr="00C74C66">
        <w:rPr>
          <w:rFonts w:eastAsia="MS Mincho"/>
          <w:lang w:val="x-none"/>
        </w:rPr>
        <w:t xml:space="preserve">надійшло 223108,6 тис.гpн. місцевих податків i зборів, що становить 117,5 відс. до плану на </w:t>
      </w:r>
      <w:r w:rsidRPr="00C74C66">
        <w:rPr>
          <w:lang w:val="x-none"/>
        </w:rPr>
        <w:t>2015 рік</w:t>
      </w:r>
      <w:r w:rsidRPr="00C74C66">
        <w:rPr>
          <w:rFonts w:eastAsia="MS Mincho"/>
          <w:lang w:val="x-none"/>
        </w:rPr>
        <w:t xml:space="preserve">. В розрізі податків надходження наступні:  </w:t>
      </w:r>
    </w:p>
    <w:p w:rsidR="00C74C66" w:rsidRPr="00C74C66" w:rsidRDefault="00C74C66" w:rsidP="00C74C66">
      <w:pPr>
        <w:ind w:firstLine="540"/>
        <w:jc w:val="right"/>
        <w:rPr>
          <w:rFonts w:eastAsia="MS Mincho"/>
          <w:sz w:val="20"/>
          <w:szCs w:val="20"/>
          <w:lang w:val="x-none"/>
        </w:rPr>
      </w:pPr>
      <w:r w:rsidRPr="00C74C66">
        <w:rPr>
          <w:rFonts w:eastAsia="MS Mincho"/>
          <w:lang w:val="x-none"/>
        </w:rPr>
        <w:t xml:space="preserve"> </w:t>
      </w:r>
      <w:r w:rsidRPr="00C74C66">
        <w:rPr>
          <w:rFonts w:eastAsia="MS Mincho"/>
          <w:lang w:val="x-none"/>
        </w:rPr>
        <w:tab/>
      </w:r>
      <w:r w:rsidRPr="00C74C66">
        <w:rPr>
          <w:rFonts w:eastAsia="MS Mincho"/>
          <w:lang w:val="x-none"/>
        </w:rPr>
        <w:tab/>
      </w:r>
      <w:r w:rsidRPr="00C74C66">
        <w:rPr>
          <w:rFonts w:eastAsia="MS Mincho"/>
          <w:lang w:val="x-none"/>
        </w:rPr>
        <w:tab/>
      </w:r>
      <w:r w:rsidRPr="00C74C66">
        <w:rPr>
          <w:rFonts w:eastAsia="MS Mincho"/>
          <w:lang w:val="x-none"/>
        </w:rPr>
        <w:tab/>
      </w:r>
      <w:r w:rsidRPr="00C74C66">
        <w:rPr>
          <w:rFonts w:eastAsia="MS Mincho"/>
          <w:lang w:val="x-none"/>
        </w:rPr>
        <w:tab/>
      </w:r>
      <w:r w:rsidRPr="00C74C66">
        <w:rPr>
          <w:rFonts w:eastAsia="MS Mincho"/>
          <w:lang w:val="x-none"/>
        </w:rPr>
        <w:tab/>
      </w:r>
      <w:r w:rsidRPr="00C74C66">
        <w:rPr>
          <w:rFonts w:eastAsia="MS Mincho"/>
          <w:lang w:val="x-none"/>
        </w:rPr>
        <w:tab/>
      </w:r>
      <w:r w:rsidRPr="00C74C66">
        <w:rPr>
          <w:rFonts w:eastAsia="MS Mincho"/>
          <w:lang w:val="x-none"/>
        </w:rPr>
        <w:tab/>
      </w:r>
      <w:r w:rsidRPr="00C74C66">
        <w:rPr>
          <w:rFonts w:eastAsia="MS Mincho"/>
          <w:lang w:val="x-none"/>
        </w:rPr>
        <w:tab/>
      </w:r>
      <w:r w:rsidRPr="00C74C66">
        <w:rPr>
          <w:rFonts w:eastAsia="MS Mincho"/>
          <w:lang w:val="x-none"/>
        </w:rPr>
        <w:tab/>
      </w:r>
      <w:r w:rsidRPr="00C74C66">
        <w:rPr>
          <w:rFonts w:eastAsia="MS Mincho"/>
          <w:sz w:val="20"/>
          <w:szCs w:val="20"/>
          <w:lang w:val="x-none"/>
        </w:rPr>
        <w:t xml:space="preserve">                      тис.грн.</w:t>
      </w:r>
    </w:p>
    <w:tbl>
      <w:tblPr>
        <w:tblW w:w="9490" w:type="dxa"/>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4"/>
        <w:gridCol w:w="1221"/>
        <w:gridCol w:w="1417"/>
        <w:gridCol w:w="1199"/>
        <w:gridCol w:w="1229"/>
      </w:tblGrid>
      <w:tr w:rsidR="00C74C66" w:rsidRPr="00C74C66" w:rsidTr="002F34D0">
        <w:trPr>
          <w:cantSplit/>
          <w:trHeight w:val="623"/>
          <w:jc w:val="center"/>
        </w:trPr>
        <w:tc>
          <w:tcPr>
            <w:tcW w:w="4424" w:type="dxa"/>
            <w:tcMar>
              <w:top w:w="17" w:type="dxa"/>
              <w:left w:w="15" w:type="dxa"/>
              <w:bottom w:w="0" w:type="dxa"/>
              <w:right w:w="15" w:type="dxa"/>
            </w:tcMar>
            <w:vAlign w:val="center"/>
          </w:tcPr>
          <w:p w:rsidR="00C74C66" w:rsidRPr="00C74C66" w:rsidRDefault="00C74C66" w:rsidP="00C74C66">
            <w:pPr>
              <w:ind w:left="57" w:right="57" w:firstLine="540"/>
              <w:jc w:val="center"/>
              <w:rPr>
                <w:rFonts w:eastAsia="Arial Unicode MS"/>
                <w:b/>
                <w:sz w:val="20"/>
                <w:szCs w:val="20"/>
              </w:rPr>
            </w:pPr>
            <w:r w:rsidRPr="00C74C66">
              <w:rPr>
                <w:b/>
                <w:sz w:val="20"/>
                <w:szCs w:val="20"/>
              </w:rPr>
              <w:t>Назва податку</w:t>
            </w:r>
          </w:p>
        </w:tc>
        <w:tc>
          <w:tcPr>
            <w:tcW w:w="1221" w:type="dxa"/>
            <w:tcMar>
              <w:top w:w="15" w:type="dxa"/>
              <w:left w:w="15" w:type="dxa"/>
              <w:bottom w:w="0" w:type="dxa"/>
              <w:right w:w="15" w:type="dxa"/>
            </w:tcMar>
            <w:vAlign w:val="center"/>
          </w:tcPr>
          <w:p w:rsidR="00C74C66" w:rsidRPr="00C74C66" w:rsidRDefault="00C74C66" w:rsidP="00C74C66">
            <w:pPr>
              <w:ind w:left="43" w:right="57" w:hanging="43"/>
              <w:jc w:val="center"/>
              <w:rPr>
                <w:b/>
                <w:sz w:val="20"/>
                <w:szCs w:val="20"/>
              </w:rPr>
            </w:pPr>
            <w:r w:rsidRPr="00C74C66">
              <w:rPr>
                <w:b/>
                <w:sz w:val="20"/>
                <w:szCs w:val="20"/>
              </w:rPr>
              <w:t xml:space="preserve">План </w:t>
            </w:r>
          </w:p>
          <w:p w:rsidR="00C74C66" w:rsidRPr="00C74C66" w:rsidRDefault="00C74C66" w:rsidP="00C74C66">
            <w:pPr>
              <w:ind w:left="43" w:right="57" w:hanging="43"/>
              <w:jc w:val="center"/>
              <w:rPr>
                <w:rFonts w:eastAsia="Arial Unicode MS"/>
                <w:b/>
                <w:sz w:val="20"/>
                <w:szCs w:val="20"/>
              </w:rPr>
            </w:pPr>
            <w:r w:rsidRPr="00C74C66">
              <w:rPr>
                <w:b/>
                <w:sz w:val="20"/>
                <w:szCs w:val="20"/>
              </w:rPr>
              <w:t>на 2015 рік</w:t>
            </w:r>
          </w:p>
        </w:tc>
        <w:tc>
          <w:tcPr>
            <w:tcW w:w="1417" w:type="dxa"/>
            <w:tcMar>
              <w:top w:w="17" w:type="dxa"/>
              <w:left w:w="15" w:type="dxa"/>
              <w:right w:w="15" w:type="dxa"/>
            </w:tcMar>
            <w:vAlign w:val="center"/>
          </w:tcPr>
          <w:p w:rsidR="00C74C66" w:rsidRPr="00C74C66" w:rsidRDefault="00C74C66" w:rsidP="00C74C66">
            <w:pPr>
              <w:ind w:left="57" w:right="57" w:hanging="43"/>
              <w:jc w:val="center"/>
              <w:rPr>
                <w:rFonts w:eastAsia="Arial Unicode MS"/>
                <w:b/>
                <w:sz w:val="20"/>
                <w:szCs w:val="20"/>
              </w:rPr>
            </w:pPr>
            <w:r w:rsidRPr="00C74C66">
              <w:rPr>
                <w:b/>
                <w:sz w:val="20"/>
                <w:szCs w:val="20"/>
              </w:rPr>
              <w:t xml:space="preserve">Фактичні надходження за 2015 рік </w:t>
            </w:r>
          </w:p>
        </w:tc>
        <w:tc>
          <w:tcPr>
            <w:tcW w:w="1199" w:type="dxa"/>
            <w:vAlign w:val="center"/>
          </w:tcPr>
          <w:p w:rsidR="00C74C66" w:rsidRPr="00C74C66" w:rsidRDefault="00C74C66" w:rsidP="00C74C66">
            <w:pPr>
              <w:ind w:left="57" w:right="57" w:hanging="10"/>
              <w:jc w:val="center"/>
              <w:rPr>
                <w:b/>
                <w:sz w:val="20"/>
                <w:szCs w:val="20"/>
              </w:rPr>
            </w:pPr>
            <w:r w:rsidRPr="00C74C66">
              <w:rPr>
                <w:b/>
                <w:sz w:val="20"/>
                <w:szCs w:val="20"/>
              </w:rPr>
              <w:t xml:space="preserve">Відхилення </w:t>
            </w:r>
          </w:p>
        </w:tc>
        <w:tc>
          <w:tcPr>
            <w:tcW w:w="1229" w:type="dxa"/>
            <w:vAlign w:val="center"/>
          </w:tcPr>
          <w:p w:rsidR="00C74C66" w:rsidRPr="00C74C66" w:rsidRDefault="00C74C66" w:rsidP="00C74C66">
            <w:pPr>
              <w:ind w:left="57" w:right="57" w:hanging="10"/>
              <w:jc w:val="center"/>
              <w:rPr>
                <w:b/>
                <w:sz w:val="20"/>
                <w:szCs w:val="20"/>
              </w:rPr>
            </w:pPr>
            <w:r w:rsidRPr="00C74C66">
              <w:rPr>
                <w:b/>
                <w:sz w:val="20"/>
                <w:szCs w:val="20"/>
              </w:rPr>
              <w:t>Відсоток виконання</w:t>
            </w:r>
          </w:p>
        </w:tc>
      </w:tr>
      <w:tr w:rsidR="00C74C66" w:rsidRPr="00C74C66" w:rsidTr="002F34D0">
        <w:trPr>
          <w:trHeight w:val="315"/>
          <w:jc w:val="center"/>
        </w:trPr>
        <w:tc>
          <w:tcPr>
            <w:tcW w:w="4424" w:type="dxa"/>
            <w:tcMar>
              <w:top w:w="15" w:type="dxa"/>
              <w:left w:w="15" w:type="dxa"/>
              <w:bottom w:w="0" w:type="dxa"/>
              <w:right w:w="15" w:type="dxa"/>
            </w:tcMar>
            <w:vAlign w:val="bottom"/>
          </w:tcPr>
          <w:p w:rsidR="00C74C66" w:rsidRPr="00C74C66" w:rsidRDefault="00C74C66" w:rsidP="00C74C66">
            <w:pPr>
              <w:ind w:left="57" w:right="57" w:hanging="57"/>
              <w:rPr>
                <w:rFonts w:eastAsia="Arial Unicode MS"/>
                <w:b/>
                <w:sz w:val="20"/>
                <w:szCs w:val="20"/>
              </w:rPr>
            </w:pPr>
            <w:r w:rsidRPr="00C74C66">
              <w:rPr>
                <w:b/>
                <w:sz w:val="20"/>
                <w:szCs w:val="20"/>
              </w:rPr>
              <w:t>Податок на майно</w:t>
            </w:r>
          </w:p>
        </w:tc>
        <w:tc>
          <w:tcPr>
            <w:tcW w:w="1221" w:type="dxa"/>
            <w:noWrap/>
            <w:tcMar>
              <w:top w:w="15" w:type="dxa"/>
              <w:left w:w="15" w:type="dxa"/>
              <w:bottom w:w="0" w:type="dxa"/>
              <w:right w:w="15" w:type="dxa"/>
            </w:tcMar>
            <w:vAlign w:val="center"/>
          </w:tcPr>
          <w:p w:rsidR="00C74C66" w:rsidRPr="00C74C66" w:rsidRDefault="00C74C66" w:rsidP="00C74C66">
            <w:pPr>
              <w:ind w:left="57" w:right="57" w:hanging="10"/>
              <w:jc w:val="center"/>
              <w:rPr>
                <w:rFonts w:eastAsia="Arial Unicode MS"/>
                <w:b/>
                <w:sz w:val="20"/>
                <w:szCs w:val="20"/>
                <w:lang w:val="ru-RU"/>
              </w:rPr>
            </w:pPr>
            <w:r w:rsidRPr="00C74C66">
              <w:rPr>
                <w:rFonts w:eastAsia="Arial Unicode MS"/>
                <w:b/>
                <w:sz w:val="20"/>
                <w:szCs w:val="20"/>
                <w:lang w:val="ru-RU"/>
              </w:rPr>
              <w:t>110300,0</w:t>
            </w:r>
          </w:p>
        </w:tc>
        <w:tc>
          <w:tcPr>
            <w:tcW w:w="1417" w:type="dxa"/>
            <w:noWrap/>
            <w:tcMar>
              <w:top w:w="15" w:type="dxa"/>
              <w:left w:w="15" w:type="dxa"/>
              <w:bottom w:w="0" w:type="dxa"/>
              <w:right w:w="15" w:type="dxa"/>
            </w:tcMar>
            <w:vAlign w:val="center"/>
          </w:tcPr>
          <w:p w:rsidR="00C74C66" w:rsidRPr="00C74C66" w:rsidRDefault="00C74C66" w:rsidP="00C74C66">
            <w:pPr>
              <w:ind w:left="57" w:right="57" w:hanging="10"/>
              <w:jc w:val="center"/>
              <w:rPr>
                <w:rFonts w:eastAsia="Arial Unicode MS"/>
                <w:b/>
                <w:sz w:val="20"/>
                <w:szCs w:val="20"/>
              </w:rPr>
            </w:pPr>
            <w:r w:rsidRPr="00C74C66">
              <w:rPr>
                <w:rFonts w:eastAsia="Arial Unicode MS"/>
                <w:b/>
                <w:sz w:val="20"/>
                <w:szCs w:val="20"/>
              </w:rPr>
              <w:t>119601,4</w:t>
            </w:r>
          </w:p>
        </w:tc>
        <w:tc>
          <w:tcPr>
            <w:tcW w:w="1199" w:type="dxa"/>
            <w:vAlign w:val="center"/>
          </w:tcPr>
          <w:p w:rsidR="00C74C66" w:rsidRPr="00C74C66" w:rsidRDefault="00C74C66" w:rsidP="00C74C66">
            <w:pPr>
              <w:ind w:left="57" w:right="57" w:hanging="10"/>
              <w:jc w:val="center"/>
              <w:rPr>
                <w:b/>
                <w:sz w:val="20"/>
                <w:szCs w:val="20"/>
              </w:rPr>
            </w:pPr>
            <w:r w:rsidRPr="00C74C66">
              <w:rPr>
                <w:b/>
                <w:sz w:val="20"/>
                <w:szCs w:val="20"/>
              </w:rPr>
              <w:t>9301,4</w:t>
            </w:r>
          </w:p>
        </w:tc>
        <w:tc>
          <w:tcPr>
            <w:tcW w:w="1229" w:type="dxa"/>
            <w:vAlign w:val="center"/>
          </w:tcPr>
          <w:p w:rsidR="00C74C66" w:rsidRPr="00C74C66" w:rsidRDefault="00C74C66" w:rsidP="00C74C66">
            <w:pPr>
              <w:ind w:left="57" w:right="57" w:hanging="10"/>
              <w:jc w:val="center"/>
              <w:rPr>
                <w:b/>
                <w:sz w:val="20"/>
                <w:szCs w:val="20"/>
              </w:rPr>
            </w:pPr>
            <w:r w:rsidRPr="00C74C66">
              <w:rPr>
                <w:b/>
                <w:sz w:val="20"/>
                <w:szCs w:val="20"/>
              </w:rPr>
              <w:t>108,4</w:t>
            </w:r>
          </w:p>
        </w:tc>
      </w:tr>
      <w:tr w:rsidR="00C74C66" w:rsidRPr="00C74C66" w:rsidTr="002F34D0">
        <w:trPr>
          <w:trHeight w:val="228"/>
          <w:jc w:val="center"/>
        </w:trPr>
        <w:tc>
          <w:tcPr>
            <w:tcW w:w="4424" w:type="dxa"/>
            <w:tcMar>
              <w:top w:w="15" w:type="dxa"/>
              <w:left w:w="15" w:type="dxa"/>
              <w:bottom w:w="0" w:type="dxa"/>
              <w:right w:w="15" w:type="dxa"/>
            </w:tcMar>
            <w:vAlign w:val="bottom"/>
          </w:tcPr>
          <w:p w:rsidR="00C74C66" w:rsidRPr="00C74C66" w:rsidRDefault="00C74C66" w:rsidP="00C74C66">
            <w:pPr>
              <w:ind w:right="57"/>
              <w:jc w:val="both"/>
              <w:rPr>
                <w:rFonts w:eastAsia="Arial Unicode MS"/>
                <w:i/>
                <w:sz w:val="20"/>
                <w:szCs w:val="20"/>
              </w:rPr>
            </w:pPr>
            <w:r w:rsidRPr="00C74C66">
              <w:rPr>
                <w:i/>
                <w:sz w:val="20"/>
                <w:szCs w:val="20"/>
              </w:rPr>
              <w:t xml:space="preserve"> - Податок на нерухоме майно, відмінне від земельної ділянки, сплачений юр. та фіз. особами які є власниками об`єктів </w:t>
            </w:r>
            <w:r w:rsidRPr="00C74C66">
              <w:rPr>
                <w:b/>
                <w:i/>
                <w:sz w:val="20"/>
                <w:szCs w:val="20"/>
              </w:rPr>
              <w:t xml:space="preserve">житлової </w:t>
            </w:r>
            <w:r w:rsidRPr="00C74C66">
              <w:rPr>
                <w:i/>
                <w:sz w:val="20"/>
                <w:szCs w:val="20"/>
              </w:rPr>
              <w:t xml:space="preserve">нерухомості   </w:t>
            </w:r>
          </w:p>
        </w:tc>
        <w:tc>
          <w:tcPr>
            <w:tcW w:w="1221" w:type="dxa"/>
            <w:noWrap/>
            <w:tcMar>
              <w:top w:w="15" w:type="dxa"/>
              <w:left w:w="15" w:type="dxa"/>
              <w:bottom w:w="0" w:type="dxa"/>
              <w:right w:w="15" w:type="dxa"/>
            </w:tcMar>
            <w:vAlign w:val="center"/>
          </w:tcPr>
          <w:p w:rsidR="00C74C66" w:rsidRPr="00C74C66" w:rsidRDefault="00C74C66" w:rsidP="00C74C66">
            <w:pPr>
              <w:ind w:left="57" w:right="57" w:hanging="10"/>
              <w:rPr>
                <w:rFonts w:eastAsia="Arial Unicode MS"/>
                <w:i/>
                <w:sz w:val="20"/>
                <w:szCs w:val="20"/>
              </w:rPr>
            </w:pPr>
            <w:r w:rsidRPr="00C74C66">
              <w:rPr>
                <w:rFonts w:eastAsia="Arial Unicode MS"/>
                <w:i/>
                <w:sz w:val="20"/>
                <w:szCs w:val="20"/>
              </w:rPr>
              <w:t>642,0</w:t>
            </w:r>
          </w:p>
        </w:tc>
        <w:tc>
          <w:tcPr>
            <w:tcW w:w="1417" w:type="dxa"/>
            <w:noWrap/>
            <w:tcMar>
              <w:top w:w="15" w:type="dxa"/>
              <w:left w:w="15" w:type="dxa"/>
              <w:bottom w:w="0" w:type="dxa"/>
              <w:right w:w="15" w:type="dxa"/>
            </w:tcMar>
            <w:vAlign w:val="center"/>
          </w:tcPr>
          <w:p w:rsidR="00C74C66" w:rsidRPr="00C74C66" w:rsidRDefault="00C74C66" w:rsidP="00C74C66">
            <w:pPr>
              <w:ind w:left="57" w:right="57" w:hanging="10"/>
              <w:rPr>
                <w:rFonts w:eastAsia="Arial Unicode MS"/>
                <w:i/>
                <w:sz w:val="20"/>
                <w:szCs w:val="20"/>
              </w:rPr>
            </w:pPr>
            <w:r w:rsidRPr="00C74C66">
              <w:rPr>
                <w:rFonts w:eastAsia="Arial Unicode MS"/>
                <w:i/>
                <w:sz w:val="20"/>
                <w:szCs w:val="20"/>
              </w:rPr>
              <w:t>716,1</w:t>
            </w:r>
          </w:p>
        </w:tc>
        <w:tc>
          <w:tcPr>
            <w:tcW w:w="1199" w:type="dxa"/>
            <w:vAlign w:val="center"/>
          </w:tcPr>
          <w:p w:rsidR="00C74C66" w:rsidRPr="00C74C66" w:rsidRDefault="00C74C66" w:rsidP="00C74C66">
            <w:pPr>
              <w:ind w:left="57" w:right="57" w:hanging="10"/>
              <w:rPr>
                <w:i/>
                <w:sz w:val="20"/>
                <w:szCs w:val="20"/>
              </w:rPr>
            </w:pPr>
            <w:r w:rsidRPr="00C74C66">
              <w:rPr>
                <w:i/>
                <w:sz w:val="20"/>
                <w:szCs w:val="20"/>
              </w:rPr>
              <w:t>74,1</w:t>
            </w:r>
          </w:p>
        </w:tc>
        <w:tc>
          <w:tcPr>
            <w:tcW w:w="1229" w:type="dxa"/>
            <w:vAlign w:val="center"/>
          </w:tcPr>
          <w:p w:rsidR="00C74C66" w:rsidRPr="00C74C66" w:rsidRDefault="00C74C66" w:rsidP="00C74C66">
            <w:pPr>
              <w:ind w:left="57" w:right="57" w:hanging="10"/>
              <w:rPr>
                <w:i/>
                <w:sz w:val="20"/>
                <w:szCs w:val="20"/>
              </w:rPr>
            </w:pPr>
            <w:r w:rsidRPr="00C74C66">
              <w:rPr>
                <w:i/>
                <w:sz w:val="20"/>
                <w:szCs w:val="20"/>
              </w:rPr>
              <w:t>286,4</w:t>
            </w:r>
          </w:p>
        </w:tc>
      </w:tr>
      <w:tr w:rsidR="00C74C66" w:rsidRPr="00C74C66" w:rsidTr="002F34D0">
        <w:trPr>
          <w:trHeight w:val="218"/>
          <w:jc w:val="center"/>
        </w:trPr>
        <w:tc>
          <w:tcPr>
            <w:tcW w:w="4424" w:type="dxa"/>
            <w:tcMar>
              <w:top w:w="15" w:type="dxa"/>
              <w:left w:w="15" w:type="dxa"/>
              <w:bottom w:w="0" w:type="dxa"/>
              <w:right w:w="15" w:type="dxa"/>
            </w:tcMar>
            <w:vAlign w:val="bottom"/>
          </w:tcPr>
          <w:p w:rsidR="00C74C66" w:rsidRPr="00C74C66" w:rsidRDefault="00C74C66" w:rsidP="00C74C66">
            <w:pPr>
              <w:ind w:left="57" w:right="57" w:hanging="57"/>
              <w:jc w:val="both"/>
              <w:rPr>
                <w:bCs/>
                <w:i/>
                <w:sz w:val="20"/>
                <w:szCs w:val="20"/>
              </w:rPr>
            </w:pPr>
            <w:r w:rsidRPr="00C74C66">
              <w:rPr>
                <w:bCs/>
                <w:i/>
                <w:sz w:val="20"/>
                <w:szCs w:val="20"/>
              </w:rPr>
              <w:t xml:space="preserve">- Податок на нерухоме майно, відмінне від земельної ділянки, сплачений юр. та фіз. особами, які є власниками об`єктів </w:t>
            </w:r>
            <w:r w:rsidRPr="00C74C66">
              <w:rPr>
                <w:b/>
                <w:bCs/>
                <w:i/>
                <w:sz w:val="20"/>
                <w:szCs w:val="20"/>
              </w:rPr>
              <w:t xml:space="preserve">нежитлової </w:t>
            </w:r>
            <w:r w:rsidRPr="00C74C66">
              <w:rPr>
                <w:bCs/>
                <w:i/>
                <w:sz w:val="20"/>
                <w:szCs w:val="20"/>
              </w:rPr>
              <w:t>нерухомості</w:t>
            </w:r>
          </w:p>
        </w:tc>
        <w:tc>
          <w:tcPr>
            <w:tcW w:w="1221" w:type="dxa"/>
            <w:noWrap/>
            <w:tcMar>
              <w:top w:w="15" w:type="dxa"/>
              <w:left w:w="15" w:type="dxa"/>
              <w:bottom w:w="0" w:type="dxa"/>
              <w:right w:w="15" w:type="dxa"/>
            </w:tcMar>
            <w:vAlign w:val="center"/>
          </w:tcPr>
          <w:p w:rsidR="00C74C66" w:rsidRPr="00C74C66" w:rsidRDefault="00C74C66" w:rsidP="00C74C66">
            <w:pPr>
              <w:ind w:left="57" w:right="57" w:hanging="10"/>
              <w:rPr>
                <w:rFonts w:eastAsia="Arial Unicode MS"/>
                <w:bCs/>
                <w:i/>
                <w:sz w:val="20"/>
                <w:szCs w:val="20"/>
              </w:rPr>
            </w:pPr>
            <w:r w:rsidRPr="00C74C66">
              <w:rPr>
                <w:rFonts w:eastAsia="Arial Unicode MS"/>
                <w:bCs/>
                <w:i/>
                <w:sz w:val="20"/>
                <w:szCs w:val="20"/>
              </w:rPr>
              <w:t>10058,0</w:t>
            </w:r>
          </w:p>
        </w:tc>
        <w:tc>
          <w:tcPr>
            <w:tcW w:w="1417" w:type="dxa"/>
            <w:noWrap/>
            <w:tcMar>
              <w:top w:w="15" w:type="dxa"/>
              <w:left w:w="15" w:type="dxa"/>
              <w:bottom w:w="0" w:type="dxa"/>
              <w:right w:w="15" w:type="dxa"/>
            </w:tcMar>
            <w:vAlign w:val="center"/>
          </w:tcPr>
          <w:p w:rsidR="00C74C66" w:rsidRPr="00C74C66" w:rsidRDefault="00C74C66" w:rsidP="00C74C66">
            <w:pPr>
              <w:ind w:left="57" w:right="57" w:hanging="10"/>
              <w:rPr>
                <w:rFonts w:eastAsia="Arial Unicode MS"/>
                <w:bCs/>
                <w:i/>
                <w:sz w:val="20"/>
                <w:szCs w:val="20"/>
              </w:rPr>
            </w:pPr>
            <w:r w:rsidRPr="00C74C66">
              <w:rPr>
                <w:rFonts w:eastAsia="Arial Unicode MS"/>
                <w:bCs/>
                <w:i/>
                <w:sz w:val="20"/>
                <w:szCs w:val="20"/>
              </w:rPr>
              <w:t>12624,0</w:t>
            </w:r>
          </w:p>
        </w:tc>
        <w:tc>
          <w:tcPr>
            <w:tcW w:w="1199" w:type="dxa"/>
            <w:vAlign w:val="center"/>
          </w:tcPr>
          <w:p w:rsidR="00C74C66" w:rsidRPr="00C74C66" w:rsidRDefault="00C74C66" w:rsidP="00C74C66">
            <w:pPr>
              <w:ind w:left="57" w:right="57" w:hanging="10"/>
              <w:rPr>
                <w:bCs/>
                <w:i/>
                <w:sz w:val="20"/>
                <w:szCs w:val="20"/>
              </w:rPr>
            </w:pPr>
            <w:r w:rsidRPr="00C74C66">
              <w:rPr>
                <w:bCs/>
                <w:i/>
                <w:sz w:val="20"/>
                <w:szCs w:val="20"/>
              </w:rPr>
              <w:t>2566,0</w:t>
            </w:r>
          </w:p>
        </w:tc>
        <w:tc>
          <w:tcPr>
            <w:tcW w:w="1229" w:type="dxa"/>
            <w:vAlign w:val="center"/>
          </w:tcPr>
          <w:p w:rsidR="00C74C66" w:rsidRPr="00C74C66" w:rsidRDefault="00C74C66" w:rsidP="00C74C66">
            <w:pPr>
              <w:ind w:left="57" w:right="57" w:hanging="10"/>
              <w:rPr>
                <w:bCs/>
                <w:i/>
                <w:sz w:val="20"/>
                <w:szCs w:val="20"/>
              </w:rPr>
            </w:pPr>
            <w:r w:rsidRPr="00C74C66">
              <w:rPr>
                <w:bCs/>
                <w:i/>
                <w:sz w:val="20"/>
                <w:szCs w:val="20"/>
              </w:rPr>
              <w:t>125,5</w:t>
            </w:r>
          </w:p>
        </w:tc>
      </w:tr>
      <w:tr w:rsidR="00C74C66" w:rsidRPr="00C74C66" w:rsidTr="002F34D0">
        <w:trPr>
          <w:trHeight w:val="218"/>
          <w:jc w:val="center"/>
        </w:trPr>
        <w:tc>
          <w:tcPr>
            <w:tcW w:w="4424" w:type="dxa"/>
            <w:tcMar>
              <w:top w:w="15" w:type="dxa"/>
              <w:left w:w="15" w:type="dxa"/>
              <w:bottom w:w="0" w:type="dxa"/>
              <w:right w:w="15" w:type="dxa"/>
            </w:tcMar>
            <w:vAlign w:val="bottom"/>
          </w:tcPr>
          <w:p w:rsidR="00C74C66" w:rsidRPr="00C74C66" w:rsidRDefault="00C74C66" w:rsidP="00C74C66">
            <w:pPr>
              <w:ind w:left="57" w:right="57" w:hanging="57"/>
              <w:jc w:val="both"/>
              <w:rPr>
                <w:b/>
                <w:bCs/>
                <w:i/>
                <w:sz w:val="20"/>
                <w:szCs w:val="20"/>
              </w:rPr>
            </w:pPr>
            <w:r w:rsidRPr="00C74C66">
              <w:rPr>
                <w:i/>
                <w:sz w:val="20"/>
                <w:szCs w:val="20"/>
              </w:rPr>
              <w:t>- Земельний податок з юр. та фіз. осіб</w:t>
            </w:r>
          </w:p>
        </w:tc>
        <w:tc>
          <w:tcPr>
            <w:tcW w:w="1221" w:type="dxa"/>
            <w:noWrap/>
            <w:tcMar>
              <w:top w:w="15" w:type="dxa"/>
              <w:left w:w="15" w:type="dxa"/>
              <w:bottom w:w="0" w:type="dxa"/>
              <w:right w:w="15" w:type="dxa"/>
            </w:tcMar>
            <w:vAlign w:val="center"/>
          </w:tcPr>
          <w:p w:rsidR="00C74C66" w:rsidRPr="00C74C66" w:rsidRDefault="00C74C66" w:rsidP="00C74C66">
            <w:pPr>
              <w:ind w:left="57" w:right="57" w:hanging="10"/>
              <w:rPr>
                <w:rFonts w:eastAsia="Arial Unicode MS"/>
                <w:bCs/>
                <w:i/>
                <w:sz w:val="20"/>
                <w:szCs w:val="20"/>
              </w:rPr>
            </w:pPr>
            <w:r w:rsidRPr="00C74C66">
              <w:rPr>
                <w:rFonts w:eastAsia="Arial Unicode MS"/>
                <w:bCs/>
                <w:i/>
                <w:sz w:val="20"/>
                <w:szCs w:val="20"/>
              </w:rPr>
              <w:t>25678,0</w:t>
            </w:r>
          </w:p>
        </w:tc>
        <w:tc>
          <w:tcPr>
            <w:tcW w:w="1417" w:type="dxa"/>
            <w:noWrap/>
            <w:tcMar>
              <w:top w:w="15" w:type="dxa"/>
              <w:left w:w="15" w:type="dxa"/>
              <w:bottom w:w="0" w:type="dxa"/>
              <w:right w:w="15" w:type="dxa"/>
            </w:tcMar>
            <w:vAlign w:val="center"/>
          </w:tcPr>
          <w:p w:rsidR="00C74C66" w:rsidRPr="00C74C66" w:rsidRDefault="00C74C66" w:rsidP="00C74C66">
            <w:pPr>
              <w:ind w:left="57" w:right="57" w:hanging="10"/>
              <w:rPr>
                <w:rFonts w:eastAsia="Arial Unicode MS"/>
                <w:bCs/>
                <w:i/>
                <w:sz w:val="20"/>
                <w:szCs w:val="20"/>
              </w:rPr>
            </w:pPr>
            <w:r w:rsidRPr="00C74C66">
              <w:rPr>
                <w:rFonts w:eastAsia="Arial Unicode MS"/>
                <w:bCs/>
                <w:i/>
                <w:sz w:val="20"/>
                <w:szCs w:val="20"/>
              </w:rPr>
              <w:t>27811,4</w:t>
            </w:r>
          </w:p>
        </w:tc>
        <w:tc>
          <w:tcPr>
            <w:tcW w:w="1199" w:type="dxa"/>
            <w:vAlign w:val="center"/>
          </w:tcPr>
          <w:p w:rsidR="00C74C66" w:rsidRPr="00C74C66" w:rsidRDefault="00C74C66" w:rsidP="00C74C66">
            <w:pPr>
              <w:ind w:left="57" w:right="57" w:hanging="10"/>
              <w:rPr>
                <w:bCs/>
                <w:i/>
                <w:sz w:val="20"/>
                <w:szCs w:val="20"/>
              </w:rPr>
            </w:pPr>
            <w:r w:rsidRPr="00C74C66">
              <w:rPr>
                <w:bCs/>
                <w:i/>
                <w:sz w:val="20"/>
                <w:szCs w:val="20"/>
              </w:rPr>
              <w:t>2133,4</w:t>
            </w:r>
          </w:p>
        </w:tc>
        <w:tc>
          <w:tcPr>
            <w:tcW w:w="1229" w:type="dxa"/>
            <w:vAlign w:val="center"/>
          </w:tcPr>
          <w:p w:rsidR="00C74C66" w:rsidRPr="00C74C66" w:rsidRDefault="00C74C66" w:rsidP="00C74C66">
            <w:pPr>
              <w:ind w:left="57" w:right="57" w:hanging="10"/>
              <w:rPr>
                <w:bCs/>
                <w:i/>
                <w:sz w:val="20"/>
                <w:szCs w:val="20"/>
              </w:rPr>
            </w:pPr>
            <w:r w:rsidRPr="00C74C66">
              <w:rPr>
                <w:bCs/>
                <w:i/>
                <w:sz w:val="20"/>
                <w:szCs w:val="20"/>
              </w:rPr>
              <w:t>108,3</w:t>
            </w:r>
          </w:p>
        </w:tc>
      </w:tr>
      <w:tr w:rsidR="00C74C66" w:rsidRPr="00C74C66" w:rsidTr="002F34D0">
        <w:trPr>
          <w:trHeight w:val="218"/>
          <w:jc w:val="center"/>
        </w:trPr>
        <w:tc>
          <w:tcPr>
            <w:tcW w:w="4424" w:type="dxa"/>
            <w:tcMar>
              <w:top w:w="15" w:type="dxa"/>
              <w:left w:w="15" w:type="dxa"/>
              <w:bottom w:w="0" w:type="dxa"/>
              <w:right w:w="15" w:type="dxa"/>
            </w:tcMar>
            <w:vAlign w:val="bottom"/>
          </w:tcPr>
          <w:p w:rsidR="00C74C66" w:rsidRPr="00C74C66" w:rsidRDefault="00C74C66" w:rsidP="00C74C66">
            <w:pPr>
              <w:ind w:left="57" w:right="57" w:hanging="57"/>
              <w:jc w:val="both"/>
              <w:rPr>
                <w:b/>
                <w:bCs/>
                <w:i/>
                <w:sz w:val="20"/>
                <w:szCs w:val="20"/>
              </w:rPr>
            </w:pPr>
            <w:r w:rsidRPr="00C74C66">
              <w:rPr>
                <w:i/>
                <w:sz w:val="20"/>
                <w:szCs w:val="20"/>
              </w:rPr>
              <w:t>- Орендна плата(за землю) з юр. та фіз. осіб</w:t>
            </w:r>
          </w:p>
        </w:tc>
        <w:tc>
          <w:tcPr>
            <w:tcW w:w="1221" w:type="dxa"/>
            <w:noWrap/>
            <w:tcMar>
              <w:top w:w="15" w:type="dxa"/>
              <w:left w:w="15" w:type="dxa"/>
              <w:bottom w:w="0" w:type="dxa"/>
              <w:right w:w="15" w:type="dxa"/>
            </w:tcMar>
            <w:vAlign w:val="center"/>
          </w:tcPr>
          <w:p w:rsidR="00C74C66" w:rsidRPr="00C74C66" w:rsidRDefault="00C74C66" w:rsidP="00C74C66">
            <w:pPr>
              <w:ind w:left="57" w:right="57" w:hanging="10"/>
              <w:rPr>
                <w:rFonts w:eastAsia="Arial Unicode MS"/>
                <w:bCs/>
                <w:i/>
                <w:sz w:val="20"/>
                <w:szCs w:val="20"/>
              </w:rPr>
            </w:pPr>
            <w:r w:rsidRPr="00C74C66">
              <w:rPr>
                <w:rFonts w:eastAsia="Arial Unicode MS"/>
                <w:bCs/>
                <w:i/>
                <w:sz w:val="20"/>
                <w:szCs w:val="20"/>
              </w:rPr>
              <w:t>71822,0</w:t>
            </w:r>
          </w:p>
        </w:tc>
        <w:tc>
          <w:tcPr>
            <w:tcW w:w="1417" w:type="dxa"/>
            <w:noWrap/>
            <w:tcMar>
              <w:top w:w="15" w:type="dxa"/>
              <w:left w:w="15" w:type="dxa"/>
              <w:bottom w:w="0" w:type="dxa"/>
              <w:right w:w="15" w:type="dxa"/>
            </w:tcMar>
            <w:vAlign w:val="center"/>
          </w:tcPr>
          <w:p w:rsidR="00C74C66" w:rsidRPr="00C74C66" w:rsidRDefault="00C74C66" w:rsidP="00C74C66">
            <w:pPr>
              <w:ind w:left="57" w:right="57" w:hanging="10"/>
              <w:rPr>
                <w:rFonts w:eastAsia="Arial Unicode MS"/>
                <w:bCs/>
                <w:i/>
                <w:sz w:val="20"/>
                <w:szCs w:val="20"/>
              </w:rPr>
            </w:pPr>
            <w:r w:rsidRPr="00C74C66">
              <w:rPr>
                <w:rFonts w:eastAsia="Arial Unicode MS"/>
                <w:bCs/>
                <w:i/>
                <w:sz w:val="20"/>
                <w:szCs w:val="20"/>
              </w:rPr>
              <w:t>74570,6</w:t>
            </w:r>
          </w:p>
        </w:tc>
        <w:tc>
          <w:tcPr>
            <w:tcW w:w="1199" w:type="dxa"/>
            <w:vAlign w:val="center"/>
          </w:tcPr>
          <w:p w:rsidR="00C74C66" w:rsidRPr="00C74C66" w:rsidRDefault="00C74C66" w:rsidP="00C74C66">
            <w:pPr>
              <w:ind w:left="57" w:right="57" w:hanging="10"/>
              <w:rPr>
                <w:bCs/>
                <w:i/>
                <w:sz w:val="20"/>
                <w:szCs w:val="20"/>
              </w:rPr>
            </w:pPr>
            <w:r w:rsidRPr="00C74C66">
              <w:rPr>
                <w:bCs/>
                <w:i/>
                <w:sz w:val="20"/>
                <w:szCs w:val="20"/>
              </w:rPr>
              <w:t>2748,6</w:t>
            </w:r>
          </w:p>
        </w:tc>
        <w:tc>
          <w:tcPr>
            <w:tcW w:w="1229" w:type="dxa"/>
            <w:vAlign w:val="center"/>
          </w:tcPr>
          <w:p w:rsidR="00C74C66" w:rsidRPr="00C74C66" w:rsidRDefault="00C74C66" w:rsidP="00C74C66">
            <w:pPr>
              <w:ind w:left="57" w:right="57" w:hanging="10"/>
              <w:rPr>
                <w:bCs/>
                <w:i/>
                <w:sz w:val="20"/>
                <w:szCs w:val="20"/>
              </w:rPr>
            </w:pPr>
            <w:r w:rsidRPr="00C74C66">
              <w:rPr>
                <w:bCs/>
                <w:i/>
                <w:sz w:val="20"/>
                <w:szCs w:val="20"/>
              </w:rPr>
              <w:t>103,8</w:t>
            </w:r>
          </w:p>
        </w:tc>
      </w:tr>
      <w:tr w:rsidR="00C74C66" w:rsidRPr="00C74C66" w:rsidTr="002F34D0">
        <w:trPr>
          <w:trHeight w:val="218"/>
          <w:jc w:val="center"/>
        </w:trPr>
        <w:tc>
          <w:tcPr>
            <w:tcW w:w="4424" w:type="dxa"/>
            <w:tcMar>
              <w:top w:w="15" w:type="dxa"/>
              <w:left w:w="15" w:type="dxa"/>
              <w:bottom w:w="0" w:type="dxa"/>
              <w:right w:w="15" w:type="dxa"/>
            </w:tcMar>
            <w:vAlign w:val="bottom"/>
          </w:tcPr>
          <w:p w:rsidR="00C74C66" w:rsidRPr="00C74C66" w:rsidRDefault="00C74C66" w:rsidP="00C74C66">
            <w:pPr>
              <w:ind w:left="57" w:right="57" w:hanging="57"/>
              <w:jc w:val="both"/>
              <w:rPr>
                <w:bCs/>
                <w:i/>
                <w:sz w:val="20"/>
                <w:szCs w:val="20"/>
              </w:rPr>
            </w:pPr>
            <w:r w:rsidRPr="00C74C66">
              <w:rPr>
                <w:bCs/>
                <w:i/>
                <w:sz w:val="20"/>
                <w:szCs w:val="20"/>
              </w:rPr>
              <w:t>- Транспортний податок з юр. та фіз. осіб</w:t>
            </w:r>
          </w:p>
        </w:tc>
        <w:tc>
          <w:tcPr>
            <w:tcW w:w="1221" w:type="dxa"/>
            <w:noWrap/>
            <w:tcMar>
              <w:top w:w="15" w:type="dxa"/>
              <w:left w:w="15" w:type="dxa"/>
              <w:bottom w:w="0" w:type="dxa"/>
              <w:right w:w="15" w:type="dxa"/>
            </w:tcMar>
            <w:vAlign w:val="center"/>
          </w:tcPr>
          <w:p w:rsidR="00C74C66" w:rsidRPr="00C74C66" w:rsidRDefault="00C74C66" w:rsidP="00C74C66">
            <w:pPr>
              <w:ind w:left="57" w:right="57" w:hanging="10"/>
              <w:rPr>
                <w:rFonts w:eastAsia="Arial Unicode MS"/>
                <w:bCs/>
                <w:i/>
                <w:sz w:val="20"/>
                <w:szCs w:val="20"/>
              </w:rPr>
            </w:pPr>
            <w:r w:rsidRPr="00C74C66">
              <w:rPr>
                <w:rFonts w:eastAsia="Arial Unicode MS"/>
                <w:bCs/>
                <w:i/>
                <w:sz w:val="20"/>
                <w:szCs w:val="20"/>
              </w:rPr>
              <w:t>2100,0</w:t>
            </w:r>
          </w:p>
        </w:tc>
        <w:tc>
          <w:tcPr>
            <w:tcW w:w="1417" w:type="dxa"/>
            <w:noWrap/>
            <w:tcMar>
              <w:top w:w="15" w:type="dxa"/>
              <w:left w:w="15" w:type="dxa"/>
              <w:bottom w:w="0" w:type="dxa"/>
              <w:right w:w="15" w:type="dxa"/>
            </w:tcMar>
            <w:vAlign w:val="center"/>
          </w:tcPr>
          <w:p w:rsidR="00C74C66" w:rsidRPr="00C74C66" w:rsidRDefault="00C74C66" w:rsidP="00C74C66">
            <w:pPr>
              <w:ind w:left="57" w:right="57" w:hanging="10"/>
              <w:rPr>
                <w:rFonts w:eastAsia="Arial Unicode MS"/>
                <w:bCs/>
                <w:i/>
                <w:sz w:val="20"/>
                <w:szCs w:val="20"/>
              </w:rPr>
            </w:pPr>
            <w:r w:rsidRPr="00C74C66">
              <w:rPr>
                <w:rFonts w:eastAsia="Arial Unicode MS"/>
                <w:bCs/>
                <w:i/>
                <w:sz w:val="20"/>
                <w:szCs w:val="20"/>
              </w:rPr>
              <w:t>3879,3</w:t>
            </w:r>
          </w:p>
        </w:tc>
        <w:tc>
          <w:tcPr>
            <w:tcW w:w="1199" w:type="dxa"/>
            <w:vAlign w:val="center"/>
          </w:tcPr>
          <w:p w:rsidR="00C74C66" w:rsidRPr="00C74C66" w:rsidRDefault="00C74C66" w:rsidP="00C74C66">
            <w:pPr>
              <w:ind w:left="57" w:right="57" w:hanging="10"/>
              <w:rPr>
                <w:bCs/>
                <w:i/>
                <w:sz w:val="20"/>
                <w:szCs w:val="20"/>
              </w:rPr>
            </w:pPr>
            <w:r w:rsidRPr="00C74C66">
              <w:rPr>
                <w:bCs/>
                <w:i/>
                <w:sz w:val="20"/>
                <w:szCs w:val="20"/>
              </w:rPr>
              <w:t>1779,3</w:t>
            </w:r>
          </w:p>
        </w:tc>
        <w:tc>
          <w:tcPr>
            <w:tcW w:w="1229" w:type="dxa"/>
            <w:vAlign w:val="center"/>
          </w:tcPr>
          <w:p w:rsidR="00C74C66" w:rsidRPr="00C74C66" w:rsidRDefault="00C74C66" w:rsidP="00C74C66">
            <w:pPr>
              <w:ind w:left="57" w:right="57" w:hanging="10"/>
              <w:rPr>
                <w:bCs/>
                <w:i/>
                <w:sz w:val="20"/>
                <w:szCs w:val="20"/>
              </w:rPr>
            </w:pPr>
            <w:r w:rsidRPr="00C74C66">
              <w:rPr>
                <w:bCs/>
                <w:i/>
                <w:sz w:val="20"/>
                <w:szCs w:val="20"/>
              </w:rPr>
              <w:t>184,7</w:t>
            </w:r>
          </w:p>
        </w:tc>
      </w:tr>
      <w:tr w:rsidR="00C74C66" w:rsidRPr="00C74C66" w:rsidTr="002F34D0">
        <w:trPr>
          <w:trHeight w:val="218"/>
          <w:jc w:val="center"/>
        </w:trPr>
        <w:tc>
          <w:tcPr>
            <w:tcW w:w="4424" w:type="dxa"/>
            <w:tcMar>
              <w:top w:w="15" w:type="dxa"/>
              <w:left w:w="15" w:type="dxa"/>
              <w:bottom w:w="0" w:type="dxa"/>
              <w:right w:w="15" w:type="dxa"/>
            </w:tcMar>
            <w:vAlign w:val="bottom"/>
          </w:tcPr>
          <w:p w:rsidR="00C74C66" w:rsidRPr="00C74C66" w:rsidRDefault="00C74C66" w:rsidP="00C74C66">
            <w:pPr>
              <w:ind w:left="57" w:right="57" w:hanging="57"/>
              <w:rPr>
                <w:b/>
                <w:bCs/>
                <w:sz w:val="20"/>
                <w:szCs w:val="20"/>
              </w:rPr>
            </w:pPr>
            <w:r w:rsidRPr="00C74C66">
              <w:rPr>
                <w:b/>
                <w:bCs/>
                <w:sz w:val="20"/>
                <w:szCs w:val="20"/>
              </w:rPr>
              <w:t>Туристичний збір</w:t>
            </w:r>
          </w:p>
        </w:tc>
        <w:tc>
          <w:tcPr>
            <w:tcW w:w="1221" w:type="dxa"/>
            <w:noWrap/>
            <w:tcMar>
              <w:top w:w="15" w:type="dxa"/>
              <w:left w:w="15" w:type="dxa"/>
              <w:bottom w:w="0" w:type="dxa"/>
              <w:right w:w="15" w:type="dxa"/>
            </w:tcMar>
            <w:vAlign w:val="center"/>
          </w:tcPr>
          <w:p w:rsidR="00C74C66" w:rsidRPr="00C74C66" w:rsidRDefault="00C74C66" w:rsidP="00C74C66">
            <w:pPr>
              <w:ind w:left="57" w:right="57" w:hanging="10"/>
              <w:jc w:val="center"/>
              <w:rPr>
                <w:rFonts w:eastAsia="Arial Unicode MS"/>
                <w:b/>
                <w:bCs/>
                <w:sz w:val="20"/>
                <w:szCs w:val="20"/>
              </w:rPr>
            </w:pPr>
            <w:r w:rsidRPr="00C74C66">
              <w:rPr>
                <w:rFonts w:eastAsia="Arial Unicode MS"/>
                <w:b/>
                <w:bCs/>
                <w:sz w:val="20"/>
                <w:szCs w:val="20"/>
              </w:rPr>
              <w:t>70,0</w:t>
            </w:r>
          </w:p>
        </w:tc>
        <w:tc>
          <w:tcPr>
            <w:tcW w:w="1417" w:type="dxa"/>
            <w:noWrap/>
            <w:tcMar>
              <w:top w:w="15" w:type="dxa"/>
              <w:left w:w="15" w:type="dxa"/>
              <w:bottom w:w="0" w:type="dxa"/>
              <w:right w:w="15" w:type="dxa"/>
            </w:tcMar>
            <w:vAlign w:val="center"/>
          </w:tcPr>
          <w:p w:rsidR="00C74C66" w:rsidRPr="00C74C66" w:rsidRDefault="00C74C66" w:rsidP="00C74C66">
            <w:pPr>
              <w:ind w:left="57" w:right="57" w:hanging="10"/>
              <w:jc w:val="center"/>
              <w:rPr>
                <w:rFonts w:eastAsia="Arial Unicode MS"/>
                <w:b/>
                <w:bCs/>
                <w:sz w:val="20"/>
                <w:szCs w:val="20"/>
              </w:rPr>
            </w:pPr>
            <w:r w:rsidRPr="00C74C66">
              <w:rPr>
                <w:rFonts w:eastAsia="Arial Unicode MS"/>
                <w:b/>
                <w:bCs/>
                <w:sz w:val="20"/>
                <w:szCs w:val="20"/>
              </w:rPr>
              <w:t>76,6</w:t>
            </w:r>
          </w:p>
        </w:tc>
        <w:tc>
          <w:tcPr>
            <w:tcW w:w="1199" w:type="dxa"/>
            <w:vAlign w:val="center"/>
          </w:tcPr>
          <w:p w:rsidR="00C74C66" w:rsidRPr="00C74C66" w:rsidRDefault="00C74C66" w:rsidP="00C74C66">
            <w:pPr>
              <w:ind w:left="57" w:right="57" w:hanging="10"/>
              <w:jc w:val="center"/>
              <w:rPr>
                <w:b/>
                <w:bCs/>
                <w:sz w:val="20"/>
                <w:szCs w:val="20"/>
              </w:rPr>
            </w:pPr>
            <w:r w:rsidRPr="00C74C66">
              <w:rPr>
                <w:b/>
                <w:bCs/>
                <w:sz w:val="20"/>
                <w:szCs w:val="20"/>
              </w:rPr>
              <w:t>6,6</w:t>
            </w:r>
          </w:p>
        </w:tc>
        <w:tc>
          <w:tcPr>
            <w:tcW w:w="1229" w:type="dxa"/>
            <w:vAlign w:val="center"/>
          </w:tcPr>
          <w:p w:rsidR="00C74C66" w:rsidRPr="00C74C66" w:rsidRDefault="00C74C66" w:rsidP="00C74C66">
            <w:pPr>
              <w:ind w:left="57" w:right="57" w:hanging="10"/>
              <w:jc w:val="center"/>
              <w:rPr>
                <w:b/>
                <w:bCs/>
                <w:sz w:val="20"/>
                <w:szCs w:val="20"/>
              </w:rPr>
            </w:pPr>
            <w:r w:rsidRPr="00C74C66">
              <w:rPr>
                <w:b/>
                <w:bCs/>
                <w:sz w:val="20"/>
                <w:szCs w:val="20"/>
              </w:rPr>
              <w:t>109,4</w:t>
            </w:r>
          </w:p>
        </w:tc>
      </w:tr>
      <w:tr w:rsidR="00C74C66" w:rsidRPr="00C74C66" w:rsidTr="002F34D0">
        <w:trPr>
          <w:trHeight w:val="218"/>
          <w:jc w:val="center"/>
        </w:trPr>
        <w:tc>
          <w:tcPr>
            <w:tcW w:w="4424" w:type="dxa"/>
            <w:tcMar>
              <w:top w:w="15" w:type="dxa"/>
              <w:left w:w="15" w:type="dxa"/>
              <w:bottom w:w="0" w:type="dxa"/>
              <w:right w:w="15" w:type="dxa"/>
            </w:tcMar>
            <w:vAlign w:val="bottom"/>
          </w:tcPr>
          <w:p w:rsidR="00C74C66" w:rsidRPr="00C74C66" w:rsidRDefault="00C74C66" w:rsidP="00C74C66">
            <w:pPr>
              <w:ind w:left="57" w:right="57" w:hanging="57"/>
              <w:jc w:val="both"/>
              <w:rPr>
                <w:b/>
                <w:bCs/>
                <w:sz w:val="20"/>
                <w:szCs w:val="20"/>
              </w:rPr>
            </w:pPr>
            <w:r w:rsidRPr="00C74C66">
              <w:rPr>
                <w:b/>
                <w:bCs/>
                <w:sz w:val="20"/>
                <w:szCs w:val="20"/>
              </w:rPr>
              <w:t>Збір за провадження деяких видів підприємницької діяльності, що справлявся до 1 січня 2015 року</w:t>
            </w:r>
          </w:p>
        </w:tc>
        <w:tc>
          <w:tcPr>
            <w:tcW w:w="1221" w:type="dxa"/>
            <w:noWrap/>
            <w:tcMar>
              <w:top w:w="15" w:type="dxa"/>
              <w:left w:w="15" w:type="dxa"/>
              <w:bottom w:w="0" w:type="dxa"/>
              <w:right w:w="15" w:type="dxa"/>
            </w:tcMar>
            <w:vAlign w:val="center"/>
          </w:tcPr>
          <w:p w:rsidR="00C74C66" w:rsidRPr="00C74C66" w:rsidRDefault="00C74C66" w:rsidP="00C74C66">
            <w:pPr>
              <w:ind w:left="57" w:right="57" w:hanging="10"/>
              <w:jc w:val="center"/>
              <w:rPr>
                <w:rFonts w:eastAsia="Arial Unicode MS"/>
                <w:b/>
                <w:bCs/>
                <w:sz w:val="20"/>
                <w:szCs w:val="20"/>
              </w:rPr>
            </w:pPr>
            <w:r w:rsidRPr="00C74C66">
              <w:rPr>
                <w:rFonts w:eastAsia="Arial Unicode MS"/>
                <w:b/>
                <w:bCs/>
                <w:sz w:val="20"/>
                <w:szCs w:val="20"/>
              </w:rPr>
              <w:t>-</w:t>
            </w:r>
          </w:p>
        </w:tc>
        <w:tc>
          <w:tcPr>
            <w:tcW w:w="1417" w:type="dxa"/>
            <w:noWrap/>
            <w:tcMar>
              <w:top w:w="15" w:type="dxa"/>
              <w:left w:w="15" w:type="dxa"/>
              <w:bottom w:w="0" w:type="dxa"/>
              <w:right w:w="15" w:type="dxa"/>
            </w:tcMar>
            <w:vAlign w:val="center"/>
          </w:tcPr>
          <w:p w:rsidR="00C74C66" w:rsidRPr="00C74C66" w:rsidRDefault="00C74C66" w:rsidP="00C74C66">
            <w:pPr>
              <w:ind w:left="57" w:right="57" w:hanging="10"/>
              <w:jc w:val="center"/>
              <w:rPr>
                <w:rFonts w:eastAsia="Arial Unicode MS"/>
                <w:b/>
                <w:bCs/>
                <w:sz w:val="20"/>
                <w:szCs w:val="20"/>
              </w:rPr>
            </w:pPr>
            <w:r w:rsidRPr="00C74C66">
              <w:rPr>
                <w:rFonts w:eastAsia="Arial Unicode MS"/>
                <w:b/>
                <w:bCs/>
                <w:sz w:val="20"/>
                <w:szCs w:val="20"/>
              </w:rPr>
              <w:t>-839,0</w:t>
            </w:r>
          </w:p>
        </w:tc>
        <w:tc>
          <w:tcPr>
            <w:tcW w:w="1199" w:type="dxa"/>
            <w:vAlign w:val="center"/>
          </w:tcPr>
          <w:p w:rsidR="00C74C66" w:rsidRPr="00C74C66" w:rsidRDefault="00C74C66" w:rsidP="00C74C66">
            <w:pPr>
              <w:ind w:left="57" w:right="57" w:hanging="10"/>
              <w:jc w:val="center"/>
              <w:rPr>
                <w:b/>
                <w:bCs/>
                <w:sz w:val="20"/>
                <w:szCs w:val="20"/>
                <w:highlight w:val="yellow"/>
              </w:rPr>
            </w:pPr>
            <w:r w:rsidRPr="00C74C66">
              <w:rPr>
                <w:b/>
                <w:bCs/>
                <w:sz w:val="20"/>
                <w:szCs w:val="20"/>
              </w:rPr>
              <w:t>-839,0</w:t>
            </w:r>
          </w:p>
        </w:tc>
        <w:tc>
          <w:tcPr>
            <w:tcW w:w="1229" w:type="dxa"/>
            <w:vAlign w:val="center"/>
          </w:tcPr>
          <w:p w:rsidR="00C74C66" w:rsidRPr="00C74C66" w:rsidRDefault="00C74C66" w:rsidP="00C74C66">
            <w:pPr>
              <w:ind w:left="57" w:right="57" w:hanging="10"/>
              <w:jc w:val="center"/>
              <w:rPr>
                <w:b/>
                <w:bCs/>
                <w:sz w:val="20"/>
                <w:szCs w:val="20"/>
                <w:highlight w:val="yellow"/>
              </w:rPr>
            </w:pPr>
          </w:p>
        </w:tc>
      </w:tr>
      <w:tr w:rsidR="00C74C66" w:rsidRPr="00C74C66" w:rsidTr="002F34D0">
        <w:trPr>
          <w:trHeight w:val="218"/>
          <w:jc w:val="center"/>
        </w:trPr>
        <w:tc>
          <w:tcPr>
            <w:tcW w:w="4424" w:type="dxa"/>
            <w:tcMar>
              <w:top w:w="15" w:type="dxa"/>
              <w:left w:w="15" w:type="dxa"/>
              <w:bottom w:w="0" w:type="dxa"/>
              <w:right w:w="15" w:type="dxa"/>
            </w:tcMar>
            <w:vAlign w:val="bottom"/>
          </w:tcPr>
          <w:p w:rsidR="00C74C66" w:rsidRPr="00C74C66" w:rsidRDefault="00C74C66" w:rsidP="00C74C66">
            <w:pPr>
              <w:ind w:left="57" w:right="57" w:hanging="57"/>
              <w:rPr>
                <w:b/>
                <w:bCs/>
                <w:sz w:val="20"/>
                <w:szCs w:val="20"/>
              </w:rPr>
            </w:pPr>
            <w:r w:rsidRPr="00C74C66">
              <w:rPr>
                <w:b/>
                <w:bCs/>
                <w:sz w:val="20"/>
                <w:szCs w:val="20"/>
              </w:rPr>
              <w:t>Єдиний податок</w:t>
            </w:r>
          </w:p>
        </w:tc>
        <w:tc>
          <w:tcPr>
            <w:tcW w:w="1221" w:type="dxa"/>
            <w:noWrap/>
            <w:tcMar>
              <w:top w:w="15" w:type="dxa"/>
              <w:left w:w="15" w:type="dxa"/>
              <w:bottom w:w="0" w:type="dxa"/>
              <w:right w:w="15" w:type="dxa"/>
            </w:tcMar>
            <w:vAlign w:val="center"/>
          </w:tcPr>
          <w:p w:rsidR="00C74C66" w:rsidRPr="00C74C66" w:rsidRDefault="00C74C66" w:rsidP="00C74C66">
            <w:pPr>
              <w:ind w:left="57" w:right="57" w:hanging="10"/>
              <w:jc w:val="center"/>
              <w:rPr>
                <w:rFonts w:eastAsia="Arial Unicode MS"/>
                <w:b/>
                <w:bCs/>
                <w:sz w:val="20"/>
                <w:szCs w:val="20"/>
              </w:rPr>
            </w:pPr>
            <w:r w:rsidRPr="00C74C66">
              <w:rPr>
                <w:rFonts w:eastAsia="Arial Unicode MS"/>
                <w:b/>
                <w:bCs/>
                <w:sz w:val="20"/>
                <w:szCs w:val="20"/>
              </w:rPr>
              <w:t>79500,0</w:t>
            </w:r>
          </w:p>
        </w:tc>
        <w:tc>
          <w:tcPr>
            <w:tcW w:w="1417" w:type="dxa"/>
            <w:noWrap/>
            <w:tcMar>
              <w:top w:w="15" w:type="dxa"/>
              <w:left w:w="15" w:type="dxa"/>
              <w:bottom w:w="0" w:type="dxa"/>
              <w:right w:w="15" w:type="dxa"/>
            </w:tcMar>
            <w:vAlign w:val="center"/>
          </w:tcPr>
          <w:p w:rsidR="00C74C66" w:rsidRPr="00C74C66" w:rsidRDefault="00C74C66" w:rsidP="00C74C66">
            <w:pPr>
              <w:ind w:left="57" w:right="57" w:hanging="10"/>
              <w:jc w:val="center"/>
              <w:rPr>
                <w:rFonts w:eastAsia="Arial Unicode MS"/>
                <w:b/>
                <w:bCs/>
                <w:sz w:val="20"/>
                <w:szCs w:val="20"/>
              </w:rPr>
            </w:pPr>
            <w:r w:rsidRPr="00C74C66">
              <w:rPr>
                <w:rFonts w:eastAsia="Arial Unicode MS"/>
                <w:b/>
                <w:bCs/>
                <w:sz w:val="20"/>
                <w:szCs w:val="20"/>
              </w:rPr>
              <w:t>104269,6</w:t>
            </w:r>
          </w:p>
        </w:tc>
        <w:tc>
          <w:tcPr>
            <w:tcW w:w="1199" w:type="dxa"/>
            <w:vAlign w:val="center"/>
          </w:tcPr>
          <w:p w:rsidR="00C74C66" w:rsidRPr="00C74C66" w:rsidRDefault="00C74C66" w:rsidP="00C74C66">
            <w:pPr>
              <w:ind w:left="57" w:right="57" w:hanging="10"/>
              <w:jc w:val="center"/>
              <w:rPr>
                <w:b/>
                <w:bCs/>
                <w:sz w:val="20"/>
                <w:szCs w:val="20"/>
              </w:rPr>
            </w:pPr>
            <w:r w:rsidRPr="00C74C66">
              <w:rPr>
                <w:b/>
                <w:bCs/>
                <w:sz w:val="20"/>
                <w:szCs w:val="20"/>
              </w:rPr>
              <w:t>24769,6</w:t>
            </w:r>
          </w:p>
        </w:tc>
        <w:tc>
          <w:tcPr>
            <w:tcW w:w="1229" w:type="dxa"/>
            <w:vAlign w:val="center"/>
          </w:tcPr>
          <w:p w:rsidR="00C74C66" w:rsidRPr="00C74C66" w:rsidRDefault="00C74C66" w:rsidP="00C74C66">
            <w:pPr>
              <w:ind w:left="57" w:right="57" w:hanging="10"/>
              <w:jc w:val="center"/>
              <w:rPr>
                <w:b/>
                <w:bCs/>
                <w:sz w:val="20"/>
                <w:szCs w:val="20"/>
              </w:rPr>
            </w:pPr>
            <w:r w:rsidRPr="00C74C66">
              <w:rPr>
                <w:b/>
                <w:bCs/>
                <w:sz w:val="20"/>
                <w:szCs w:val="20"/>
              </w:rPr>
              <w:t>131,2</w:t>
            </w:r>
          </w:p>
        </w:tc>
      </w:tr>
      <w:tr w:rsidR="00C74C66" w:rsidRPr="00C74C66" w:rsidTr="002F34D0">
        <w:trPr>
          <w:trHeight w:val="244"/>
          <w:jc w:val="center"/>
        </w:trPr>
        <w:tc>
          <w:tcPr>
            <w:tcW w:w="4424" w:type="dxa"/>
            <w:tcMar>
              <w:top w:w="15" w:type="dxa"/>
              <w:left w:w="15" w:type="dxa"/>
              <w:bottom w:w="0" w:type="dxa"/>
              <w:right w:w="15" w:type="dxa"/>
            </w:tcMar>
            <w:vAlign w:val="center"/>
          </w:tcPr>
          <w:p w:rsidR="00C74C66" w:rsidRPr="00C74C66" w:rsidRDefault="00C74C66" w:rsidP="00C74C66">
            <w:pPr>
              <w:ind w:left="57" w:right="57" w:hanging="57"/>
              <w:jc w:val="center"/>
              <w:rPr>
                <w:rFonts w:eastAsia="Arial Unicode MS"/>
                <w:b/>
                <w:bCs/>
                <w:sz w:val="20"/>
                <w:szCs w:val="20"/>
              </w:rPr>
            </w:pPr>
            <w:r w:rsidRPr="00C74C66">
              <w:rPr>
                <w:b/>
                <w:bCs/>
                <w:sz w:val="20"/>
                <w:szCs w:val="20"/>
              </w:rPr>
              <w:t>ВСЬОГО</w:t>
            </w:r>
          </w:p>
        </w:tc>
        <w:tc>
          <w:tcPr>
            <w:tcW w:w="1221" w:type="dxa"/>
            <w:noWrap/>
            <w:tcMar>
              <w:top w:w="15" w:type="dxa"/>
              <w:left w:w="15" w:type="dxa"/>
              <w:bottom w:w="0" w:type="dxa"/>
              <w:right w:w="15" w:type="dxa"/>
            </w:tcMar>
            <w:vAlign w:val="center"/>
          </w:tcPr>
          <w:p w:rsidR="00C74C66" w:rsidRPr="00C74C66" w:rsidRDefault="00C74C66" w:rsidP="00C74C66">
            <w:pPr>
              <w:ind w:left="57" w:right="57" w:hanging="10"/>
              <w:jc w:val="center"/>
              <w:rPr>
                <w:rFonts w:eastAsia="Arial Unicode MS"/>
                <w:b/>
                <w:bCs/>
                <w:sz w:val="20"/>
                <w:szCs w:val="20"/>
              </w:rPr>
            </w:pPr>
            <w:r w:rsidRPr="00C74C66">
              <w:rPr>
                <w:rFonts w:eastAsia="Arial Unicode MS"/>
                <w:b/>
                <w:bCs/>
                <w:sz w:val="20"/>
                <w:szCs w:val="20"/>
              </w:rPr>
              <w:t>189870,0</w:t>
            </w:r>
          </w:p>
        </w:tc>
        <w:tc>
          <w:tcPr>
            <w:tcW w:w="1417" w:type="dxa"/>
            <w:noWrap/>
            <w:tcMar>
              <w:top w:w="15" w:type="dxa"/>
              <w:left w:w="15" w:type="dxa"/>
              <w:bottom w:w="0" w:type="dxa"/>
              <w:right w:w="15" w:type="dxa"/>
            </w:tcMar>
            <w:vAlign w:val="center"/>
          </w:tcPr>
          <w:p w:rsidR="00C74C66" w:rsidRPr="00C74C66" w:rsidRDefault="00C74C66" w:rsidP="00C74C66">
            <w:pPr>
              <w:ind w:left="57" w:right="57" w:hanging="10"/>
              <w:jc w:val="center"/>
              <w:rPr>
                <w:rFonts w:eastAsia="Arial Unicode MS"/>
                <w:b/>
                <w:bCs/>
                <w:sz w:val="20"/>
                <w:szCs w:val="20"/>
              </w:rPr>
            </w:pPr>
            <w:r w:rsidRPr="00C74C66">
              <w:rPr>
                <w:rFonts w:eastAsia="Arial Unicode MS"/>
                <w:b/>
                <w:bCs/>
                <w:sz w:val="20"/>
                <w:szCs w:val="20"/>
              </w:rPr>
              <w:t>223108,6</w:t>
            </w:r>
          </w:p>
        </w:tc>
        <w:tc>
          <w:tcPr>
            <w:tcW w:w="1199" w:type="dxa"/>
            <w:vAlign w:val="center"/>
          </w:tcPr>
          <w:p w:rsidR="00C74C66" w:rsidRPr="00C74C66" w:rsidRDefault="00C74C66" w:rsidP="00C74C66">
            <w:pPr>
              <w:ind w:left="57" w:right="57" w:hanging="10"/>
              <w:jc w:val="center"/>
              <w:rPr>
                <w:b/>
                <w:bCs/>
                <w:sz w:val="20"/>
                <w:szCs w:val="20"/>
              </w:rPr>
            </w:pPr>
            <w:r w:rsidRPr="00C74C66">
              <w:rPr>
                <w:b/>
                <w:bCs/>
                <w:sz w:val="20"/>
                <w:szCs w:val="20"/>
              </w:rPr>
              <w:t>33238,6</w:t>
            </w:r>
          </w:p>
        </w:tc>
        <w:tc>
          <w:tcPr>
            <w:tcW w:w="1229" w:type="dxa"/>
            <w:vAlign w:val="center"/>
          </w:tcPr>
          <w:p w:rsidR="00C74C66" w:rsidRPr="00C74C66" w:rsidRDefault="00C74C66" w:rsidP="00C74C66">
            <w:pPr>
              <w:ind w:left="57" w:right="57" w:hanging="10"/>
              <w:jc w:val="center"/>
              <w:rPr>
                <w:b/>
                <w:bCs/>
                <w:sz w:val="20"/>
                <w:szCs w:val="20"/>
              </w:rPr>
            </w:pPr>
            <w:r w:rsidRPr="00C74C66">
              <w:rPr>
                <w:b/>
                <w:bCs/>
                <w:sz w:val="20"/>
                <w:szCs w:val="20"/>
              </w:rPr>
              <w:t>117,5</w:t>
            </w:r>
          </w:p>
        </w:tc>
      </w:tr>
    </w:tbl>
    <w:p w:rsidR="00C74C66" w:rsidRPr="00C74C66" w:rsidRDefault="00C74C66" w:rsidP="00C74C66">
      <w:pPr>
        <w:tabs>
          <w:tab w:val="left" w:pos="4301"/>
        </w:tabs>
        <w:ind w:firstLine="540"/>
        <w:jc w:val="both"/>
        <w:rPr>
          <w:rFonts w:eastAsia="MS Mincho"/>
          <w:lang w:val="x-none"/>
        </w:rPr>
      </w:pPr>
      <w:r w:rsidRPr="00C74C66">
        <w:rPr>
          <w:rFonts w:eastAsia="MS Mincho"/>
          <w:lang w:val="x-none"/>
        </w:rPr>
        <w:t>Основні надходження місцевих податків і зборів в</w:t>
      </w:r>
      <w:r w:rsidRPr="00C74C66">
        <w:rPr>
          <w:lang w:val="x-none"/>
        </w:rPr>
        <w:t xml:space="preserve"> 2015 році</w:t>
      </w:r>
      <w:r w:rsidRPr="00C74C66">
        <w:rPr>
          <w:rFonts w:ascii="Courier New" w:hAnsi="Courier New"/>
          <w:lang w:val="x-none"/>
        </w:rPr>
        <w:t xml:space="preserve"> </w:t>
      </w:r>
      <w:r w:rsidRPr="00C74C66">
        <w:rPr>
          <w:rFonts w:eastAsia="MS Mincho"/>
          <w:lang w:val="x-none"/>
        </w:rPr>
        <w:t>забезпечили:</w:t>
      </w:r>
    </w:p>
    <w:p w:rsidR="00C74C66" w:rsidRPr="00C74C66" w:rsidRDefault="00C74C66" w:rsidP="00C74C66">
      <w:pPr>
        <w:ind w:firstLine="540"/>
        <w:jc w:val="both"/>
        <w:rPr>
          <w:lang w:val="x-none"/>
        </w:rPr>
      </w:pPr>
      <w:r w:rsidRPr="00C74C66">
        <w:rPr>
          <w:b/>
          <w:lang w:val="x-none"/>
        </w:rPr>
        <w:lastRenderedPageBreak/>
        <w:t>- податок на нерухоме майно, відмінне від земельної ділянки</w:t>
      </w:r>
      <w:r w:rsidRPr="00C74C66">
        <w:rPr>
          <w:lang w:val="x-none"/>
        </w:rPr>
        <w:t xml:space="preserve"> – 13340,1 тис.грн., що становить 124,7 відс. до плану на 2015 рік, в порівнянні з 2014 роком надходження збільшились на 12874,1 тис.грн., за рахунок введення з 2015 року податку на нерухоме майно на нежитлову нерухомість;</w:t>
      </w:r>
    </w:p>
    <w:p w:rsidR="00C74C66" w:rsidRPr="00C74C66" w:rsidRDefault="00C74C66" w:rsidP="00C74C66">
      <w:pPr>
        <w:numPr>
          <w:ilvl w:val="0"/>
          <w:numId w:val="4"/>
        </w:numPr>
        <w:tabs>
          <w:tab w:val="num" w:pos="720"/>
        </w:tabs>
        <w:ind w:firstLine="540"/>
        <w:jc w:val="both"/>
        <w:rPr>
          <w:lang w:val="x-none"/>
        </w:rPr>
      </w:pPr>
      <w:r w:rsidRPr="00C74C66">
        <w:rPr>
          <w:b/>
          <w:lang w:val="x-none"/>
        </w:rPr>
        <w:t>єдиний податок</w:t>
      </w:r>
      <w:r w:rsidRPr="00C74C66">
        <w:rPr>
          <w:lang w:val="x-none"/>
        </w:rPr>
        <w:t xml:space="preserve"> – 104269,6 тис.грн., що становить 131,2 відс. до плану на 2015 рік, в порівнянні з 2014 роком надходження збільшились на 20796,1 тис.грн., або на 24,9 відс.;</w:t>
      </w:r>
    </w:p>
    <w:p w:rsidR="00C74C66" w:rsidRPr="00C74C66" w:rsidRDefault="00C74C66" w:rsidP="00C74C66">
      <w:pPr>
        <w:numPr>
          <w:ilvl w:val="0"/>
          <w:numId w:val="4"/>
        </w:numPr>
        <w:tabs>
          <w:tab w:val="num" w:pos="720"/>
        </w:tabs>
        <w:ind w:firstLine="540"/>
        <w:jc w:val="both"/>
        <w:rPr>
          <w:lang w:val="x-none"/>
        </w:rPr>
      </w:pPr>
      <w:r w:rsidRPr="00C74C66">
        <w:rPr>
          <w:b/>
          <w:lang w:val="x-none"/>
        </w:rPr>
        <w:t xml:space="preserve">плата за землю </w:t>
      </w:r>
      <w:r w:rsidRPr="00C74C66">
        <w:rPr>
          <w:lang w:val="x-none"/>
        </w:rPr>
        <w:t>– 102382,0 тис.грн., або 105 відс. до плану на 2015 рік, в порівнянні з  2014 роком надходження збільшились на 20341,5 тис.грн., або на 24,8 відс., що пов’язано з проведенням індексації плати за землю в 2015 ро</w:t>
      </w:r>
      <w:r w:rsidRPr="00C74C66">
        <w:t>ці</w:t>
      </w:r>
      <w:r w:rsidRPr="00C74C66">
        <w:rPr>
          <w:lang w:val="x-none"/>
        </w:rPr>
        <w:t xml:space="preserve"> на 24,</w:t>
      </w:r>
      <w:r w:rsidRPr="00C74C66">
        <w:t>9</w:t>
      </w:r>
      <w:r w:rsidRPr="00C74C66">
        <w:rPr>
          <w:lang w:val="x-none"/>
        </w:rPr>
        <w:t xml:space="preserve"> %.</w:t>
      </w:r>
    </w:p>
    <w:p w:rsidR="00C74C66" w:rsidRPr="00C74C66" w:rsidRDefault="00C74C66" w:rsidP="00C74C66">
      <w:pPr>
        <w:ind w:firstLine="567"/>
        <w:jc w:val="both"/>
      </w:pPr>
      <w:r w:rsidRPr="00C74C66">
        <w:t>Боржникам по орендній платі за землю за 2015 рік направлено 91 повідомлення на суму 5023,0 тис.грн., до Господарського суду на боржників подано 70 позовних заяв на суму 16028,0 тис.грн. (задоволено 33 позова на суму на 6712,3 тис.грн., інші позови знаходяться на розгляді в суді), складено 102 акта звірок взаємних розрахунків з суб’єктами господарювання.</w:t>
      </w:r>
    </w:p>
    <w:p w:rsidR="00C74C66" w:rsidRPr="00C74C66" w:rsidRDefault="00C74C66" w:rsidP="00C74C66">
      <w:pPr>
        <w:widowControl w:val="0"/>
        <w:ind w:firstLine="540"/>
        <w:jc w:val="both"/>
        <w:rPr>
          <w:rFonts w:eastAsia="MS Mincho"/>
          <w:lang w:val="x-none"/>
        </w:rPr>
      </w:pPr>
      <w:r w:rsidRPr="00C74C66">
        <w:rPr>
          <w:rFonts w:eastAsia="MS Mincho"/>
          <w:lang w:val="x-none"/>
        </w:rPr>
        <w:t xml:space="preserve">Станом на 01.01.2016 за даними ДПІ у м. Черкасах найбільша недоїмка по платі за землю є у наступних підприємств: </w:t>
      </w:r>
      <w:r w:rsidRPr="00C74C66">
        <w:rPr>
          <w:rFonts w:eastAsia="MS Mincho"/>
          <w:u w:val="single"/>
          <w:lang w:val="x-none"/>
        </w:rPr>
        <w:t>по земельному податку</w:t>
      </w:r>
      <w:r w:rsidRPr="00C74C66">
        <w:rPr>
          <w:rFonts w:eastAsia="MS Mincho"/>
          <w:lang w:val="x-none"/>
        </w:rPr>
        <w:t xml:space="preserve"> -</w:t>
      </w:r>
      <w:r w:rsidRPr="00C74C66">
        <w:rPr>
          <w:rFonts w:ascii="Courier New" w:hAnsi="Courier New"/>
          <w:lang w:val="x-none"/>
        </w:rPr>
        <w:t xml:space="preserve"> </w:t>
      </w:r>
      <w:r w:rsidRPr="00C74C66">
        <w:rPr>
          <w:rFonts w:eastAsia="MS Mincho"/>
          <w:lang w:val="x-none"/>
        </w:rPr>
        <w:t xml:space="preserve">ДП «Підприємство «Черкаський державний завод хімічних реактивів» - 2931,7 тис.грн. (триває процедура санації), ВАТ «ЧЗТА» - 2585,4 тис.грн. (банкрут), КП «Аеропорт-Черкаси» -1579,8 тис.грн., КП «Черкасиінвестбуд» -89,3 тис.грн.; </w:t>
      </w:r>
      <w:r w:rsidRPr="00C74C66">
        <w:rPr>
          <w:rFonts w:eastAsia="MS Mincho"/>
          <w:u w:val="single"/>
          <w:lang w:val="x-none"/>
        </w:rPr>
        <w:t>по орендній платі за землю</w:t>
      </w:r>
      <w:r w:rsidRPr="00C74C66">
        <w:rPr>
          <w:rFonts w:eastAsia="MS Mincho"/>
          <w:lang w:val="x-none"/>
        </w:rPr>
        <w:t xml:space="preserve"> -ТОВ «ЧПК» - 4612,8 тис.грн. (банкрут), ТОВ «Завод «Строммаш» – 3183,0 тис.грн., ПП «ЮАЛ» – 2488,1 тис.грн.(банкрут), ТОВ «Нікос» 2476,0 тис.грн.(банкрут).</w:t>
      </w:r>
    </w:p>
    <w:p w:rsidR="00C74C66" w:rsidRPr="00C74C66" w:rsidRDefault="00C74C66" w:rsidP="00C74C66">
      <w:pPr>
        <w:keepNext/>
        <w:ind w:firstLine="540"/>
        <w:jc w:val="center"/>
        <w:outlineLvl w:val="4"/>
        <w:rPr>
          <w:b/>
          <w:bCs/>
          <w:i/>
          <w:iCs/>
          <w:u w:val="single"/>
        </w:rPr>
      </w:pPr>
      <w:r w:rsidRPr="00C74C66">
        <w:rPr>
          <w:b/>
          <w:bCs/>
          <w:i/>
          <w:iCs/>
          <w:u w:val="single"/>
        </w:rPr>
        <w:t xml:space="preserve">Неподаткові надходження </w:t>
      </w:r>
    </w:p>
    <w:p w:rsidR="00C74C66" w:rsidRPr="00C74C66" w:rsidRDefault="00C74C66" w:rsidP="00C74C66">
      <w:pPr>
        <w:spacing w:before="60"/>
        <w:ind w:firstLine="539"/>
        <w:jc w:val="both"/>
        <w:rPr>
          <w:lang w:val="x-none"/>
        </w:rPr>
      </w:pPr>
      <w:r w:rsidRPr="00C74C66">
        <w:rPr>
          <w:lang w:val="x-none"/>
        </w:rPr>
        <w:t>Планові показники неподаткових платежів на 2015 рік</w:t>
      </w:r>
      <w:r w:rsidRPr="00C74C66">
        <w:rPr>
          <w:rFonts w:ascii="Courier New" w:hAnsi="Courier New"/>
          <w:lang w:val="x-none"/>
        </w:rPr>
        <w:t xml:space="preserve"> </w:t>
      </w:r>
      <w:r w:rsidRPr="00C74C66">
        <w:rPr>
          <w:lang w:val="x-none"/>
        </w:rPr>
        <w:t xml:space="preserve">затверджені у сумі 37989,4 тис.грн. </w:t>
      </w:r>
    </w:p>
    <w:p w:rsidR="00C74C66" w:rsidRPr="00C74C66" w:rsidRDefault="00C74C66" w:rsidP="00C74C66">
      <w:pPr>
        <w:ind w:firstLine="540"/>
        <w:jc w:val="both"/>
        <w:rPr>
          <w:lang w:val="x-none"/>
        </w:rPr>
      </w:pPr>
      <w:r w:rsidRPr="00C74C66">
        <w:rPr>
          <w:lang w:val="x-none"/>
        </w:rPr>
        <w:t>За 2015 рік</w:t>
      </w:r>
      <w:r w:rsidRPr="00C74C66">
        <w:rPr>
          <w:rFonts w:ascii="Courier New" w:hAnsi="Courier New"/>
          <w:lang w:val="x-none"/>
        </w:rPr>
        <w:t xml:space="preserve"> </w:t>
      </w:r>
      <w:r w:rsidRPr="00C74C66">
        <w:rPr>
          <w:lang w:val="x-none"/>
        </w:rPr>
        <w:t>надійшло неподаткових платежів у сумі 50680,7 тис.грн., що складає 133,4вiдс. до плану на 2015 рік. Основні неподаткові надходження забезпечили:</w:t>
      </w:r>
    </w:p>
    <w:p w:rsidR="00C74C66" w:rsidRPr="00C74C66" w:rsidRDefault="00C74C66" w:rsidP="00C74C66">
      <w:pPr>
        <w:ind w:firstLine="540"/>
        <w:jc w:val="both"/>
        <w:rPr>
          <w:lang w:val="x-none"/>
        </w:rPr>
      </w:pPr>
      <w:r w:rsidRPr="00C74C66">
        <w:rPr>
          <w:b/>
          <w:lang w:val="x-none"/>
        </w:rPr>
        <w:t>- плата за розміщення тимчасово вільних коштів місцевих бюджетів</w:t>
      </w:r>
      <w:r w:rsidRPr="00C74C66">
        <w:rPr>
          <w:lang w:val="x-none"/>
        </w:rPr>
        <w:t xml:space="preserve"> – 19275,4 тис.грн., що становить 185,5 відс. до плану на 2015 рік;</w:t>
      </w:r>
    </w:p>
    <w:p w:rsidR="00C74C66" w:rsidRPr="00C74C66" w:rsidRDefault="00C74C66" w:rsidP="00C74C66">
      <w:pPr>
        <w:ind w:firstLine="540"/>
        <w:jc w:val="both"/>
        <w:rPr>
          <w:lang w:val="x-none"/>
        </w:rPr>
      </w:pPr>
      <w:r w:rsidRPr="00C74C66">
        <w:rPr>
          <w:b/>
          <w:lang w:val="x-none"/>
        </w:rPr>
        <w:t>- плата за оренду цілісних майнових комплексів та іншого майна</w:t>
      </w:r>
      <w:r w:rsidRPr="00C74C66">
        <w:rPr>
          <w:lang w:val="x-none"/>
        </w:rPr>
        <w:t xml:space="preserve"> – 8872,3 тис.грн., що становить 128,6 відс. до плану на 2015 рік, в порівнянні з 2014 роком надходження збільшились на 1719,0 тис.грн., або на 24,0 відс.;</w:t>
      </w:r>
    </w:p>
    <w:p w:rsidR="00C74C66" w:rsidRPr="00C74C66" w:rsidRDefault="00C74C66" w:rsidP="00C74C66">
      <w:pPr>
        <w:numPr>
          <w:ilvl w:val="0"/>
          <w:numId w:val="4"/>
        </w:numPr>
        <w:tabs>
          <w:tab w:val="num" w:pos="720"/>
        </w:tabs>
        <w:ind w:firstLine="540"/>
        <w:jc w:val="both"/>
        <w:rPr>
          <w:lang w:val="x-none"/>
        </w:rPr>
      </w:pPr>
      <w:r w:rsidRPr="00C74C66">
        <w:rPr>
          <w:b/>
          <w:lang w:val="x-none"/>
        </w:rPr>
        <w:t>плата за надання інших адміністративних послуг</w:t>
      </w:r>
      <w:r w:rsidRPr="00C74C66">
        <w:rPr>
          <w:lang w:val="x-none"/>
        </w:rPr>
        <w:t xml:space="preserve"> – 9902,8 тис.грн., ці надходження включають в себе плату за послуги Державної міграційної служби, Державного агентства лісових ресурсів, Державної санітарно-епідеміологічної служби, Державного агентства земельних ресурсів, Державної ветеринарної та фітосанітарної служби, УМВС України, у 2014 році такі надходження зараховувались до державного бюджету;</w:t>
      </w:r>
    </w:p>
    <w:p w:rsidR="00C74C66" w:rsidRPr="00C74C66" w:rsidRDefault="00C74C66" w:rsidP="00C74C66">
      <w:pPr>
        <w:numPr>
          <w:ilvl w:val="0"/>
          <w:numId w:val="4"/>
        </w:numPr>
        <w:tabs>
          <w:tab w:val="num" w:pos="720"/>
        </w:tabs>
        <w:ind w:firstLine="540"/>
        <w:jc w:val="both"/>
        <w:rPr>
          <w:lang w:val="x-none"/>
        </w:rPr>
      </w:pPr>
      <w:r w:rsidRPr="00C74C66">
        <w:rPr>
          <w:b/>
          <w:lang w:val="x-none"/>
        </w:rPr>
        <w:t xml:space="preserve">державне мито </w:t>
      </w:r>
      <w:r w:rsidRPr="00C74C66">
        <w:rPr>
          <w:lang w:val="x-none"/>
        </w:rPr>
        <w:t>– 7235,7 тис.грн., або 101,9 відс. до плану на 2015 рік, в порівнянні з 2014 роком надходження збільшились на 6160,3 тис.грн., або в 6,7 рази, що пов’язано з зарахуванням у 2015 році до місцевих бюджетів державного мита за оформлення закордонних паспортів, які у 2014 році зараховувались до державного бюджету;</w:t>
      </w:r>
    </w:p>
    <w:p w:rsidR="00C74C66" w:rsidRPr="00C74C66" w:rsidRDefault="00C74C66" w:rsidP="00C74C66">
      <w:pPr>
        <w:numPr>
          <w:ilvl w:val="0"/>
          <w:numId w:val="4"/>
        </w:numPr>
        <w:tabs>
          <w:tab w:val="num" w:pos="720"/>
        </w:tabs>
        <w:ind w:firstLine="540"/>
        <w:jc w:val="both"/>
        <w:rPr>
          <w:lang w:val="x-none"/>
        </w:rPr>
      </w:pPr>
      <w:r w:rsidRPr="00C74C66">
        <w:rPr>
          <w:b/>
          <w:lang w:val="x-none"/>
        </w:rPr>
        <w:t>інші неподаткові надходження</w:t>
      </w:r>
      <w:r w:rsidRPr="00C74C66">
        <w:rPr>
          <w:lang w:val="x-none"/>
        </w:rPr>
        <w:t xml:space="preserve"> – 4820,9 тис.грн., або 114,3 відс. до плану на 2015 року, в порівнянні з 2014 роком надходження збільшились на 593,2 тис.грн.; 99,4 відс. цих надходжень забезпечено за рахунок надходження платежів по коду 24060300, у тому числі:</w:t>
      </w:r>
    </w:p>
    <w:p w:rsidR="00C74C66" w:rsidRPr="00C74C66" w:rsidRDefault="00C74C66" w:rsidP="00C74C66">
      <w:pPr>
        <w:widowControl w:val="0"/>
        <w:numPr>
          <w:ilvl w:val="0"/>
          <w:numId w:val="2"/>
        </w:numPr>
        <w:tabs>
          <w:tab w:val="num" w:pos="0"/>
          <w:tab w:val="num" w:pos="1260"/>
          <w:tab w:val="left" w:pos="1418"/>
        </w:tabs>
        <w:ind w:firstLine="1087"/>
        <w:jc w:val="both"/>
        <w:rPr>
          <w:rFonts w:eastAsia="MS Mincho"/>
          <w:lang w:val="x-none"/>
        </w:rPr>
      </w:pPr>
      <w:r w:rsidRPr="00C74C66">
        <w:rPr>
          <w:rFonts w:eastAsia="MS Mincho"/>
          <w:lang w:val="x-none"/>
        </w:rPr>
        <w:t>2863,5 тис.грн. - плата за розміщення об’єктів зовнішньої реклами;</w:t>
      </w:r>
    </w:p>
    <w:p w:rsidR="00C74C66" w:rsidRPr="00C74C66" w:rsidRDefault="00C74C66" w:rsidP="00C74C66">
      <w:pPr>
        <w:widowControl w:val="0"/>
        <w:numPr>
          <w:ilvl w:val="0"/>
          <w:numId w:val="2"/>
        </w:numPr>
        <w:tabs>
          <w:tab w:val="num" w:pos="0"/>
          <w:tab w:val="num" w:pos="1260"/>
        </w:tabs>
        <w:ind w:firstLine="1087"/>
        <w:jc w:val="both"/>
        <w:rPr>
          <w:rFonts w:eastAsia="MS Mincho"/>
          <w:lang w:val="x-none"/>
        </w:rPr>
      </w:pPr>
      <w:r w:rsidRPr="00C74C66">
        <w:rPr>
          <w:rFonts w:eastAsia="MS Mincho"/>
          <w:lang w:val="x-none"/>
        </w:rPr>
        <w:t xml:space="preserve">1224,2 тис.грн. - плата за пайову участь в утриманні об’єктів благоустрою; </w:t>
      </w:r>
    </w:p>
    <w:p w:rsidR="00C74C66" w:rsidRPr="00C74C66" w:rsidRDefault="00C74C66" w:rsidP="00C74C66">
      <w:pPr>
        <w:widowControl w:val="0"/>
        <w:numPr>
          <w:ilvl w:val="0"/>
          <w:numId w:val="2"/>
        </w:numPr>
        <w:tabs>
          <w:tab w:val="num" w:pos="0"/>
          <w:tab w:val="num" w:pos="1260"/>
        </w:tabs>
        <w:ind w:firstLine="1087"/>
        <w:jc w:val="both"/>
        <w:rPr>
          <w:rFonts w:eastAsia="MS Mincho"/>
          <w:lang w:val="x-none"/>
        </w:rPr>
      </w:pPr>
      <w:r w:rsidRPr="00C74C66">
        <w:rPr>
          <w:rFonts w:eastAsia="MS Mincho"/>
          <w:lang w:val="x-none"/>
        </w:rPr>
        <w:t>702,5 тис.грн. - повернення невикористаних бюджетних коштів.</w:t>
      </w:r>
    </w:p>
    <w:p w:rsidR="00C74C66" w:rsidRPr="00C74C66" w:rsidRDefault="00C74C66" w:rsidP="00C74C66">
      <w:pPr>
        <w:keepNext/>
        <w:ind w:firstLine="540"/>
        <w:jc w:val="center"/>
        <w:outlineLvl w:val="4"/>
        <w:rPr>
          <w:b/>
          <w:bCs/>
          <w:i/>
          <w:iCs/>
          <w:u w:val="single"/>
        </w:rPr>
      </w:pPr>
      <w:r w:rsidRPr="00C74C66">
        <w:rPr>
          <w:b/>
          <w:bCs/>
          <w:i/>
          <w:iCs/>
          <w:u w:val="single"/>
        </w:rPr>
        <w:lastRenderedPageBreak/>
        <w:t>Офіційні трансферти загального фонду</w:t>
      </w:r>
    </w:p>
    <w:p w:rsidR="00C74C66" w:rsidRPr="00C74C66" w:rsidRDefault="00C74C66" w:rsidP="00C74C66">
      <w:pPr>
        <w:spacing w:before="60"/>
        <w:ind w:firstLine="539"/>
        <w:jc w:val="both"/>
        <w:rPr>
          <w:rFonts w:eastAsia="MS Mincho"/>
          <w:lang w:val="x-none"/>
        </w:rPr>
      </w:pPr>
      <w:r w:rsidRPr="00C74C66">
        <w:rPr>
          <w:rFonts w:eastAsia="MS Mincho"/>
          <w:lang w:val="x-none"/>
        </w:rPr>
        <w:t xml:space="preserve">За </w:t>
      </w:r>
      <w:r w:rsidRPr="00C74C66">
        <w:rPr>
          <w:lang w:val="x-none"/>
        </w:rPr>
        <w:t>2015 рік</w:t>
      </w:r>
      <w:r w:rsidRPr="00C74C66">
        <w:rPr>
          <w:rFonts w:ascii="Courier New" w:hAnsi="Courier New"/>
          <w:lang w:val="x-none"/>
        </w:rPr>
        <w:t xml:space="preserve"> </w:t>
      </w:r>
      <w:r w:rsidRPr="00C74C66">
        <w:rPr>
          <w:rFonts w:eastAsia="MS Mincho"/>
          <w:lang w:val="x-none"/>
        </w:rPr>
        <w:t xml:space="preserve">до загального фонду бюджету міста надійшло офіційних трансфертів  на загальну суму 835046,9 тис.грн., що становить 96,9 відс. до плану на </w:t>
      </w:r>
      <w:r w:rsidRPr="00C74C66">
        <w:rPr>
          <w:lang w:val="x-none"/>
        </w:rPr>
        <w:t xml:space="preserve"> 2015 рік</w:t>
      </w:r>
      <w:r w:rsidRPr="00C74C66">
        <w:rPr>
          <w:rFonts w:eastAsia="MS Mincho"/>
          <w:lang w:val="x-none"/>
        </w:rPr>
        <w:t>, з них:</w:t>
      </w:r>
    </w:p>
    <w:p w:rsidR="00C74C66" w:rsidRPr="00C74C66" w:rsidRDefault="00C74C66" w:rsidP="00C74C66">
      <w:pPr>
        <w:spacing w:before="60"/>
        <w:ind w:firstLine="539"/>
        <w:jc w:val="both"/>
        <w:rPr>
          <w:rFonts w:eastAsia="MS Mincho"/>
          <w:lang w:val="x-none"/>
        </w:rPr>
      </w:pPr>
      <w:r w:rsidRPr="00C74C66">
        <w:rPr>
          <w:rFonts w:eastAsia="MS Mincho"/>
          <w:lang w:val="x-none"/>
        </w:rPr>
        <w:t xml:space="preserve">     -  стабілізаційна дотація -2039,8 тис.грн., або 100 відс. </w:t>
      </w:r>
      <w:r w:rsidRPr="00C74C66">
        <w:rPr>
          <w:rFonts w:eastAsia="MS Mincho"/>
        </w:rPr>
        <w:t>д</w:t>
      </w:r>
      <w:r w:rsidRPr="00C74C66">
        <w:rPr>
          <w:rFonts w:eastAsia="MS Mincho"/>
          <w:lang w:val="x-none"/>
        </w:rPr>
        <w:t>о плану на 2015 рік;</w:t>
      </w:r>
    </w:p>
    <w:p w:rsidR="00C74C66" w:rsidRPr="00C74C66" w:rsidRDefault="00C74C66" w:rsidP="00C74C66">
      <w:pPr>
        <w:numPr>
          <w:ilvl w:val="0"/>
          <w:numId w:val="1"/>
        </w:numPr>
        <w:tabs>
          <w:tab w:val="num" w:pos="0"/>
          <w:tab w:val="num" w:pos="993"/>
        </w:tabs>
        <w:ind w:firstLine="851"/>
        <w:jc w:val="both"/>
        <w:rPr>
          <w:rFonts w:eastAsia="MS Mincho"/>
          <w:lang w:val="x-none"/>
        </w:rPr>
      </w:pPr>
      <w:r w:rsidRPr="00C74C66">
        <w:rPr>
          <w:rFonts w:eastAsia="MS Mincho"/>
          <w:lang w:val="x-none"/>
        </w:rPr>
        <w:t xml:space="preserve">субвенція з державного бюджету місцевим бюджетам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І чи ІІ групи внаслідок психічного розладу – 246712,8 тис.грн., або 100 відс. до плану на </w:t>
      </w:r>
      <w:r w:rsidRPr="00C74C66">
        <w:rPr>
          <w:lang w:val="x-none"/>
        </w:rPr>
        <w:t xml:space="preserve"> </w:t>
      </w:r>
      <w:r w:rsidRPr="00C74C66">
        <w:rPr>
          <w:rFonts w:eastAsia="MS Mincho"/>
          <w:lang w:val="x-none"/>
        </w:rPr>
        <w:t>2015 рік;</w:t>
      </w:r>
    </w:p>
    <w:p w:rsidR="00C74C66" w:rsidRPr="00C74C66" w:rsidRDefault="00C74C66" w:rsidP="00C74C66">
      <w:pPr>
        <w:numPr>
          <w:ilvl w:val="0"/>
          <w:numId w:val="1"/>
        </w:numPr>
        <w:tabs>
          <w:tab w:val="num" w:pos="0"/>
          <w:tab w:val="num" w:pos="993"/>
        </w:tabs>
        <w:ind w:firstLine="851"/>
        <w:jc w:val="both"/>
        <w:rPr>
          <w:rFonts w:eastAsia="MS Mincho"/>
          <w:lang w:val="x-none"/>
        </w:rPr>
      </w:pPr>
      <w:r w:rsidRPr="00C74C66">
        <w:rPr>
          <w:rFonts w:eastAsia="MS Mincho"/>
          <w:lang w:val="x-none"/>
        </w:rPr>
        <w:t>субвенція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 157447,3 тис.грн., або 100,0 відс. до плану на 2015 рік;</w:t>
      </w:r>
    </w:p>
    <w:p w:rsidR="00C74C66" w:rsidRPr="00C74C66" w:rsidRDefault="00C74C66" w:rsidP="00C74C66">
      <w:pPr>
        <w:numPr>
          <w:ilvl w:val="0"/>
          <w:numId w:val="1"/>
        </w:numPr>
        <w:tabs>
          <w:tab w:val="num" w:pos="0"/>
          <w:tab w:val="num" w:pos="993"/>
        </w:tabs>
        <w:ind w:firstLine="851"/>
        <w:jc w:val="both"/>
        <w:rPr>
          <w:rFonts w:eastAsia="MS Mincho"/>
          <w:lang w:val="x-none"/>
        </w:rPr>
      </w:pPr>
      <w:r w:rsidRPr="00C74C66">
        <w:rPr>
          <w:rFonts w:eastAsia="MS Mincho"/>
          <w:lang w:val="x-none"/>
        </w:rPr>
        <w:t>субвенція з державного бюджету місцевим бюджетам на надання пільг з послуг зв'язку, інших передбачених законодавством пільг (крім пільг на одержання ліків, зубопротезування, оплату електроенергії, природного і скрапленого газу на побутові потреби, твердого та рідкого пічного побутового палива,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на компенсацію втрати частини доходів у зв'язку з відміною податку з власників транспортних засобів та інших самохідних машин і механізмів та відповідним збільшенням ставок акцизного податку з пального і на компенсацію за пільговий проїзд окремих категорій громадян – 17783,1 тис.грн., або 88,1 відс. до плану на 2015 рік;</w:t>
      </w:r>
    </w:p>
    <w:p w:rsidR="00C74C66" w:rsidRPr="00C74C66" w:rsidRDefault="00C74C66" w:rsidP="00C74C66">
      <w:pPr>
        <w:numPr>
          <w:ilvl w:val="0"/>
          <w:numId w:val="1"/>
        </w:numPr>
        <w:tabs>
          <w:tab w:val="num" w:pos="0"/>
          <w:tab w:val="num" w:pos="993"/>
        </w:tabs>
        <w:ind w:firstLine="851"/>
        <w:jc w:val="both"/>
        <w:rPr>
          <w:rFonts w:eastAsia="MS Mincho"/>
          <w:lang w:val="x-none"/>
        </w:rPr>
      </w:pPr>
      <w:r w:rsidRPr="00C74C66">
        <w:rPr>
          <w:rFonts w:eastAsia="MS Mincho"/>
          <w:lang w:val="x-none"/>
        </w:rPr>
        <w:t>субвенція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 – 64,9 тис.грн., або 99,1 відс. до плану на</w:t>
      </w:r>
      <w:r w:rsidRPr="00C74C66">
        <w:rPr>
          <w:lang w:val="x-none"/>
        </w:rPr>
        <w:t xml:space="preserve"> </w:t>
      </w:r>
      <w:r w:rsidRPr="00C74C66">
        <w:rPr>
          <w:rFonts w:eastAsia="MS Mincho"/>
          <w:lang w:val="x-none"/>
        </w:rPr>
        <w:t>2015 рік;</w:t>
      </w:r>
    </w:p>
    <w:p w:rsidR="00C74C66" w:rsidRPr="00C74C66" w:rsidRDefault="00C74C66" w:rsidP="00C74C66">
      <w:pPr>
        <w:numPr>
          <w:ilvl w:val="0"/>
          <w:numId w:val="1"/>
        </w:numPr>
        <w:tabs>
          <w:tab w:val="num" w:pos="0"/>
          <w:tab w:val="num" w:pos="993"/>
        </w:tabs>
        <w:ind w:firstLine="851"/>
        <w:jc w:val="both"/>
        <w:rPr>
          <w:rFonts w:eastAsia="MS Mincho"/>
          <w:lang w:val="x-none"/>
        </w:rPr>
      </w:pPr>
      <w:r w:rsidRPr="00C74C66">
        <w:rPr>
          <w:rFonts w:eastAsia="MS Mincho"/>
          <w:lang w:val="x-none"/>
        </w:rPr>
        <w:t>освітня субвенція з державного бюджету місцевим бюджетам – 182400,9 тис.грн., або 100,0 відс. до плану на 2015 рік;</w:t>
      </w:r>
    </w:p>
    <w:p w:rsidR="00C74C66" w:rsidRPr="00C74C66" w:rsidRDefault="00C74C66" w:rsidP="00C74C66">
      <w:pPr>
        <w:numPr>
          <w:ilvl w:val="0"/>
          <w:numId w:val="1"/>
        </w:numPr>
        <w:tabs>
          <w:tab w:val="num" w:pos="0"/>
          <w:tab w:val="num" w:pos="993"/>
        </w:tabs>
        <w:ind w:firstLine="851"/>
        <w:jc w:val="both"/>
        <w:rPr>
          <w:rFonts w:eastAsia="MS Mincho"/>
          <w:lang w:val="x-none"/>
        </w:rPr>
      </w:pPr>
      <w:r w:rsidRPr="00C74C66">
        <w:rPr>
          <w:rFonts w:eastAsia="MS Mincho"/>
          <w:lang w:val="x-none"/>
        </w:rPr>
        <w:t>медична субвенція з державного бюджету місцевим бюджетам – 192619,5 тис.грн., або 100,0 відс. до плану на 2015 рік;</w:t>
      </w:r>
    </w:p>
    <w:p w:rsidR="00C74C66" w:rsidRPr="00C74C66" w:rsidRDefault="00C74C66" w:rsidP="00C74C66">
      <w:pPr>
        <w:numPr>
          <w:ilvl w:val="0"/>
          <w:numId w:val="1"/>
        </w:numPr>
        <w:tabs>
          <w:tab w:val="num" w:pos="0"/>
          <w:tab w:val="num" w:pos="993"/>
        </w:tabs>
        <w:ind w:firstLine="851"/>
        <w:jc w:val="both"/>
        <w:rPr>
          <w:rFonts w:eastAsia="MS Mincho"/>
          <w:lang w:val="x-none"/>
        </w:rPr>
      </w:pPr>
      <w:r w:rsidRPr="00C74C66">
        <w:rPr>
          <w:rFonts w:eastAsia="MS Mincho"/>
          <w:lang w:val="x-none"/>
        </w:rPr>
        <w:t>інші субвенції – 9184,8 тис.грн., або 98,9 відс. до плану на 2015 рік;</w:t>
      </w:r>
    </w:p>
    <w:p w:rsidR="00C74C66" w:rsidRPr="00C74C66" w:rsidRDefault="00C74C66" w:rsidP="00C74C66">
      <w:pPr>
        <w:numPr>
          <w:ilvl w:val="0"/>
          <w:numId w:val="1"/>
        </w:numPr>
        <w:tabs>
          <w:tab w:val="num" w:pos="0"/>
          <w:tab w:val="num" w:pos="993"/>
        </w:tabs>
        <w:ind w:firstLine="851"/>
        <w:jc w:val="both"/>
        <w:rPr>
          <w:rFonts w:eastAsia="MS Mincho"/>
          <w:lang w:val="x-none"/>
        </w:rPr>
      </w:pPr>
      <w:r w:rsidRPr="00C74C66">
        <w:rPr>
          <w:rFonts w:eastAsia="MS Mincho"/>
          <w:lang w:val="x-none"/>
        </w:rPr>
        <w:t>субвенція з державного бюджету місцевим бюджетам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 2295,1 тис.грн., або 92,0 відс. до плану на 2015 рік;</w:t>
      </w:r>
    </w:p>
    <w:p w:rsidR="00C74C66" w:rsidRPr="00C74C66" w:rsidRDefault="00C74C66" w:rsidP="00C74C66">
      <w:pPr>
        <w:numPr>
          <w:ilvl w:val="0"/>
          <w:numId w:val="1"/>
        </w:numPr>
        <w:tabs>
          <w:tab w:val="num" w:pos="0"/>
          <w:tab w:val="num" w:pos="993"/>
        </w:tabs>
        <w:ind w:firstLine="851"/>
        <w:jc w:val="both"/>
        <w:rPr>
          <w:rFonts w:eastAsia="MS Mincho"/>
          <w:lang w:val="x-none"/>
        </w:rPr>
      </w:pPr>
      <w:r w:rsidRPr="00C74C66">
        <w:rPr>
          <w:rFonts w:eastAsia="MS Mincho"/>
          <w:lang w:val="x-none"/>
        </w:rPr>
        <w:t>субвенція з державного бюджету місцевим бюджетам на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місцевого самоврядування – 20211,2 тис.грн., або 46,5 відс. до плану на 2015 рік;</w:t>
      </w:r>
    </w:p>
    <w:p w:rsidR="00C74C66" w:rsidRPr="00C74C66" w:rsidRDefault="00C74C66" w:rsidP="00C74C66">
      <w:pPr>
        <w:numPr>
          <w:ilvl w:val="0"/>
          <w:numId w:val="1"/>
        </w:numPr>
        <w:tabs>
          <w:tab w:val="num" w:pos="0"/>
          <w:tab w:val="num" w:pos="993"/>
        </w:tabs>
        <w:ind w:firstLine="851"/>
        <w:jc w:val="both"/>
        <w:rPr>
          <w:rFonts w:eastAsia="MS Mincho"/>
          <w:lang w:val="x-none"/>
        </w:rPr>
      </w:pPr>
      <w:r w:rsidRPr="00C74C66">
        <w:rPr>
          <w:rFonts w:eastAsia="MS Mincho"/>
          <w:lang w:val="x-none"/>
        </w:rPr>
        <w:t>субвенція з державного бюджету місцевим бюджетам на часткове фінансування дитячо-юнацьких спортивних шкіл, які до 2015 року отримували підтримку з Фонду соціального страхування з тимчасової втрати працездатності – 200,0 тис.грн., або 100,0 відс. до плану на 2015 рік;</w:t>
      </w:r>
    </w:p>
    <w:p w:rsidR="00C74C66" w:rsidRPr="00C74C66" w:rsidRDefault="00C74C66" w:rsidP="00C74C66">
      <w:pPr>
        <w:numPr>
          <w:ilvl w:val="0"/>
          <w:numId w:val="1"/>
        </w:numPr>
        <w:tabs>
          <w:tab w:val="num" w:pos="0"/>
          <w:tab w:val="num" w:pos="993"/>
        </w:tabs>
        <w:ind w:firstLine="851"/>
        <w:jc w:val="both"/>
        <w:rPr>
          <w:rFonts w:eastAsia="MS Mincho"/>
          <w:lang w:val="x-none"/>
        </w:rPr>
      </w:pPr>
      <w:r w:rsidRPr="00C74C66">
        <w:rPr>
          <w:rFonts w:eastAsia="MS Mincho"/>
          <w:lang w:val="x-none"/>
        </w:rPr>
        <w:lastRenderedPageBreak/>
        <w:t>субвенція з державного бюджету місцевим бюджетам на проведення виборів депутатів місцевих рад та сільських, селищних, міських голів – 4087,5 тис.грн., або 92,6 відс. до плану на 2015 рік.</w:t>
      </w:r>
    </w:p>
    <w:p w:rsidR="00C74C66" w:rsidRPr="00C74C66" w:rsidRDefault="00C74C66" w:rsidP="00C74C66">
      <w:pPr>
        <w:keepNext/>
        <w:ind w:firstLine="540"/>
        <w:jc w:val="center"/>
        <w:outlineLvl w:val="4"/>
        <w:rPr>
          <w:b/>
          <w:bCs/>
          <w:i/>
          <w:iCs/>
          <w:u w:val="single"/>
        </w:rPr>
      </w:pPr>
      <w:r w:rsidRPr="00C74C66">
        <w:rPr>
          <w:b/>
          <w:bCs/>
          <w:i/>
          <w:iCs/>
          <w:u w:val="single"/>
        </w:rPr>
        <w:t>Спеціальний фонд</w:t>
      </w:r>
    </w:p>
    <w:p w:rsidR="00C74C66" w:rsidRPr="00C74C66" w:rsidRDefault="00C74C66" w:rsidP="00C74C66">
      <w:pPr>
        <w:spacing w:before="60"/>
        <w:ind w:firstLine="539"/>
        <w:jc w:val="both"/>
        <w:rPr>
          <w:rFonts w:eastAsia="MS Mincho"/>
          <w:lang w:val="x-none"/>
        </w:rPr>
      </w:pPr>
      <w:r w:rsidRPr="00C74C66">
        <w:rPr>
          <w:rFonts w:eastAsia="MS Mincho"/>
          <w:bCs/>
          <w:lang w:val="x-none"/>
        </w:rPr>
        <w:t>С</w:t>
      </w:r>
      <w:r w:rsidRPr="00C74C66">
        <w:rPr>
          <w:rFonts w:eastAsia="MS Mincho"/>
          <w:lang w:val="x-none"/>
        </w:rPr>
        <w:t>пеціальний фонд бюджету міста (без трансфертів) складається з наступних видів надходжень:</w:t>
      </w:r>
    </w:p>
    <w:p w:rsidR="00C74C66" w:rsidRPr="00C74C66" w:rsidRDefault="00C74C66" w:rsidP="00C74C66">
      <w:pPr>
        <w:numPr>
          <w:ilvl w:val="0"/>
          <w:numId w:val="7"/>
        </w:numPr>
        <w:tabs>
          <w:tab w:val="left" w:pos="142"/>
        </w:tabs>
        <w:jc w:val="both"/>
        <w:rPr>
          <w:rFonts w:eastAsia="MS Mincho"/>
          <w:lang w:val="x-none"/>
        </w:rPr>
      </w:pPr>
      <w:r w:rsidRPr="00C74C66">
        <w:rPr>
          <w:rFonts w:eastAsia="MS Mincho"/>
          <w:lang w:val="x-none"/>
        </w:rPr>
        <w:t>відсотки за користування довгостроковим кредитом на будівництво та придбання житла;</w:t>
      </w:r>
    </w:p>
    <w:p w:rsidR="00C74C66" w:rsidRPr="00C74C66" w:rsidRDefault="00C74C66" w:rsidP="00C74C66">
      <w:pPr>
        <w:numPr>
          <w:ilvl w:val="0"/>
          <w:numId w:val="7"/>
        </w:numPr>
        <w:tabs>
          <w:tab w:val="left" w:pos="142"/>
        </w:tabs>
        <w:jc w:val="both"/>
        <w:rPr>
          <w:rFonts w:eastAsia="MS Mincho"/>
          <w:lang w:val="x-none"/>
        </w:rPr>
      </w:pPr>
      <w:r w:rsidRPr="00C74C66">
        <w:rPr>
          <w:rFonts w:eastAsia="MS Mincho"/>
          <w:lang w:val="x-none"/>
        </w:rPr>
        <w:t>інші надходження до фонду охорони навколишнього середовища;</w:t>
      </w:r>
    </w:p>
    <w:p w:rsidR="00C74C66" w:rsidRPr="00C74C66" w:rsidRDefault="00C74C66" w:rsidP="00C74C66">
      <w:pPr>
        <w:numPr>
          <w:ilvl w:val="2"/>
          <w:numId w:val="7"/>
        </w:numPr>
        <w:tabs>
          <w:tab w:val="left" w:pos="142"/>
        </w:tabs>
        <w:jc w:val="both"/>
        <w:rPr>
          <w:rFonts w:eastAsia="MS Mincho"/>
          <w:lang w:val="x-none"/>
        </w:rPr>
      </w:pPr>
      <w:r w:rsidRPr="00C74C66">
        <w:rPr>
          <w:rFonts w:eastAsia="MS Mincho"/>
          <w:lang w:val="x-none"/>
        </w:rPr>
        <w:t>грошові стягнення за шкоду, заподіяну порушенням законодавства про охорону  навколишнього природного середовища;</w:t>
      </w:r>
      <w:r w:rsidRPr="00C74C66">
        <w:rPr>
          <w:rFonts w:eastAsia="MS Mincho"/>
          <w:lang w:val="x-none"/>
        </w:rPr>
        <w:tab/>
      </w:r>
    </w:p>
    <w:p w:rsidR="00C74C66" w:rsidRPr="00C74C66" w:rsidRDefault="00C74C66" w:rsidP="00C74C66">
      <w:pPr>
        <w:numPr>
          <w:ilvl w:val="0"/>
          <w:numId w:val="7"/>
        </w:numPr>
        <w:tabs>
          <w:tab w:val="left" w:pos="142"/>
        </w:tabs>
        <w:jc w:val="both"/>
        <w:rPr>
          <w:rFonts w:eastAsia="MS Mincho"/>
          <w:lang w:val="x-none"/>
        </w:rPr>
      </w:pPr>
      <w:r w:rsidRPr="00C74C66">
        <w:rPr>
          <w:rFonts w:eastAsia="MS Mincho"/>
          <w:lang w:val="x-none"/>
        </w:rPr>
        <w:t>власні надходження бюджетних установ;</w:t>
      </w:r>
    </w:p>
    <w:p w:rsidR="00C74C66" w:rsidRPr="00C74C66" w:rsidRDefault="00C74C66" w:rsidP="00C74C66">
      <w:pPr>
        <w:numPr>
          <w:ilvl w:val="0"/>
          <w:numId w:val="7"/>
        </w:numPr>
        <w:tabs>
          <w:tab w:val="left" w:pos="142"/>
        </w:tabs>
        <w:jc w:val="both"/>
        <w:rPr>
          <w:rFonts w:eastAsia="MS Mincho"/>
          <w:lang w:val="x-none"/>
        </w:rPr>
      </w:pPr>
      <w:r w:rsidRPr="00C74C66">
        <w:rPr>
          <w:rFonts w:eastAsia="MS Mincho"/>
          <w:lang w:val="x-none"/>
        </w:rPr>
        <w:t>кошти бюджету розвитку, який формується за рахунок надходження коштiв вiд відчуження майна, що знаходиться у комунальній власності, надходження коштів вiд пpодажу землі та надходження коштів пайової участі у розвитку інфраструктури населеного пункту.</w:t>
      </w:r>
    </w:p>
    <w:p w:rsidR="00C74C66" w:rsidRPr="00C74C66" w:rsidRDefault="00C74C66" w:rsidP="00C74C66">
      <w:pPr>
        <w:ind w:firstLine="540"/>
        <w:jc w:val="both"/>
        <w:rPr>
          <w:rFonts w:eastAsia="MS Mincho"/>
        </w:rPr>
      </w:pPr>
      <w:r w:rsidRPr="00C74C66">
        <w:rPr>
          <w:rFonts w:eastAsia="MS Mincho"/>
          <w:lang w:val="x-none"/>
        </w:rPr>
        <w:t xml:space="preserve">Надходження до спеціального фонду за </w:t>
      </w:r>
      <w:r w:rsidRPr="00C74C66">
        <w:rPr>
          <w:lang w:val="x-none"/>
        </w:rPr>
        <w:t xml:space="preserve"> 2015 рік</w:t>
      </w:r>
      <w:r w:rsidRPr="00C74C66">
        <w:rPr>
          <w:rFonts w:ascii="Courier New" w:hAnsi="Courier New"/>
          <w:lang w:val="x-none"/>
        </w:rPr>
        <w:t xml:space="preserve"> </w:t>
      </w:r>
      <w:r w:rsidRPr="00C74C66">
        <w:rPr>
          <w:rFonts w:eastAsia="MS Mincho"/>
          <w:lang w:val="x-none"/>
        </w:rPr>
        <w:t xml:space="preserve">склали 68882,0 тис.грн., або 87,6 відс. до плану на 2015 рік. В розрізі податків, зборів та неподаткових платежів та трансфертів надходження наступні:   </w:t>
      </w:r>
    </w:p>
    <w:p w:rsidR="00C74C66" w:rsidRPr="00C74C66" w:rsidRDefault="00C74C66" w:rsidP="00C74C66">
      <w:pPr>
        <w:jc w:val="right"/>
        <w:rPr>
          <w:rFonts w:eastAsia="MS Mincho"/>
          <w:b/>
          <w:sz w:val="20"/>
          <w:szCs w:val="20"/>
          <w:lang w:val="x-none"/>
        </w:rPr>
      </w:pPr>
      <w:r w:rsidRPr="00C74C66">
        <w:rPr>
          <w:rFonts w:eastAsia="MS Mincho"/>
          <w:sz w:val="20"/>
          <w:szCs w:val="20"/>
          <w:lang w:val="ru-RU"/>
        </w:rPr>
        <w:t xml:space="preserve">                                                                                                                                                 </w:t>
      </w:r>
      <w:r w:rsidRPr="00C74C66">
        <w:rPr>
          <w:rFonts w:eastAsia="MS Mincho"/>
          <w:sz w:val="20"/>
          <w:szCs w:val="20"/>
          <w:lang w:val="x-none"/>
        </w:rPr>
        <w:t>тис.грн.</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7"/>
        <w:gridCol w:w="1338"/>
        <w:gridCol w:w="1440"/>
        <w:gridCol w:w="1304"/>
      </w:tblGrid>
      <w:tr w:rsidR="00C74C66" w:rsidRPr="00C74C66" w:rsidTr="002F34D0">
        <w:trPr>
          <w:trHeight w:val="896"/>
        </w:trPr>
        <w:tc>
          <w:tcPr>
            <w:tcW w:w="5687" w:type="dxa"/>
            <w:vAlign w:val="center"/>
          </w:tcPr>
          <w:p w:rsidR="00C74C66" w:rsidRPr="00C74C66" w:rsidRDefault="00C74C66" w:rsidP="00C74C66">
            <w:pPr>
              <w:ind w:left="57" w:right="57" w:firstLine="540"/>
              <w:jc w:val="center"/>
              <w:rPr>
                <w:rFonts w:eastAsia="Arial Unicode MS"/>
                <w:b/>
                <w:bCs/>
                <w:sz w:val="20"/>
                <w:szCs w:val="20"/>
              </w:rPr>
            </w:pPr>
            <w:r w:rsidRPr="00C74C66">
              <w:rPr>
                <w:b/>
                <w:bCs/>
                <w:sz w:val="20"/>
                <w:szCs w:val="20"/>
              </w:rPr>
              <w:t>Найменування</w:t>
            </w:r>
          </w:p>
        </w:tc>
        <w:tc>
          <w:tcPr>
            <w:tcW w:w="1338" w:type="dxa"/>
            <w:vAlign w:val="center"/>
          </w:tcPr>
          <w:p w:rsidR="00C74C66" w:rsidRPr="00C74C66" w:rsidRDefault="00C74C66" w:rsidP="00C74C66">
            <w:pPr>
              <w:ind w:left="57" w:right="57" w:hanging="57"/>
              <w:jc w:val="center"/>
              <w:rPr>
                <w:rFonts w:eastAsia="Arial Unicode MS"/>
                <w:b/>
                <w:bCs/>
                <w:sz w:val="20"/>
                <w:szCs w:val="20"/>
              </w:rPr>
            </w:pPr>
            <w:r w:rsidRPr="00C74C66">
              <w:rPr>
                <w:rFonts w:eastAsia="Arial Unicode MS"/>
                <w:b/>
                <w:bCs/>
                <w:sz w:val="20"/>
                <w:szCs w:val="20"/>
              </w:rPr>
              <w:t xml:space="preserve">Уточнений план  </w:t>
            </w:r>
          </w:p>
          <w:p w:rsidR="00C74C66" w:rsidRPr="00C74C66" w:rsidRDefault="00C74C66" w:rsidP="00C74C66">
            <w:pPr>
              <w:ind w:left="57" w:right="57" w:hanging="57"/>
              <w:jc w:val="center"/>
              <w:rPr>
                <w:rFonts w:eastAsia="Arial Unicode MS"/>
                <w:b/>
                <w:bCs/>
                <w:sz w:val="20"/>
                <w:szCs w:val="20"/>
              </w:rPr>
            </w:pPr>
            <w:r w:rsidRPr="00C74C66">
              <w:rPr>
                <w:rFonts w:eastAsia="Arial Unicode MS"/>
                <w:b/>
                <w:bCs/>
                <w:sz w:val="20"/>
                <w:szCs w:val="20"/>
              </w:rPr>
              <w:t>2015 рік</w:t>
            </w:r>
          </w:p>
        </w:tc>
        <w:tc>
          <w:tcPr>
            <w:tcW w:w="1440" w:type="dxa"/>
            <w:tcMar>
              <w:top w:w="0" w:type="dxa"/>
              <w:left w:w="17" w:type="dxa"/>
              <w:bottom w:w="0" w:type="dxa"/>
              <w:right w:w="17" w:type="dxa"/>
            </w:tcMar>
            <w:vAlign w:val="center"/>
          </w:tcPr>
          <w:p w:rsidR="00C74C66" w:rsidRPr="00C74C66" w:rsidRDefault="00C74C66" w:rsidP="00C74C66">
            <w:pPr>
              <w:ind w:left="57" w:right="57" w:hanging="57"/>
              <w:jc w:val="center"/>
              <w:rPr>
                <w:rFonts w:eastAsia="Arial Unicode MS"/>
                <w:b/>
                <w:bCs/>
                <w:sz w:val="20"/>
                <w:szCs w:val="20"/>
              </w:rPr>
            </w:pPr>
            <w:r w:rsidRPr="00C74C66">
              <w:rPr>
                <w:b/>
                <w:bCs/>
                <w:sz w:val="20"/>
                <w:szCs w:val="20"/>
              </w:rPr>
              <w:t>Фактичні надходження за 2015 рік</w:t>
            </w:r>
          </w:p>
        </w:tc>
        <w:tc>
          <w:tcPr>
            <w:tcW w:w="1304" w:type="dxa"/>
            <w:tcMar>
              <w:top w:w="17" w:type="dxa"/>
              <w:left w:w="17" w:type="dxa"/>
              <w:bottom w:w="0" w:type="dxa"/>
              <w:right w:w="17" w:type="dxa"/>
            </w:tcMar>
            <w:vAlign w:val="center"/>
          </w:tcPr>
          <w:p w:rsidR="00C74C66" w:rsidRPr="00C74C66" w:rsidRDefault="00C74C66" w:rsidP="00C74C66">
            <w:pPr>
              <w:ind w:left="57" w:right="57" w:hanging="57"/>
              <w:jc w:val="center"/>
              <w:rPr>
                <w:rFonts w:eastAsia="Arial Unicode MS"/>
                <w:b/>
                <w:bCs/>
                <w:sz w:val="20"/>
                <w:szCs w:val="20"/>
              </w:rPr>
            </w:pPr>
            <w:r w:rsidRPr="00C74C66">
              <w:rPr>
                <w:b/>
                <w:bCs/>
                <w:sz w:val="20"/>
                <w:szCs w:val="20"/>
              </w:rPr>
              <w:t>Відсоток виконання  річного плану</w:t>
            </w:r>
          </w:p>
        </w:tc>
      </w:tr>
      <w:tr w:rsidR="00C74C66" w:rsidRPr="00C74C66" w:rsidTr="002F34D0">
        <w:trPr>
          <w:trHeight w:val="546"/>
        </w:trPr>
        <w:tc>
          <w:tcPr>
            <w:tcW w:w="5687" w:type="dxa"/>
            <w:tcMar>
              <w:top w:w="17" w:type="dxa"/>
              <w:left w:w="17" w:type="dxa"/>
              <w:bottom w:w="0" w:type="dxa"/>
              <w:right w:w="17" w:type="dxa"/>
            </w:tcMar>
            <w:vAlign w:val="center"/>
          </w:tcPr>
          <w:p w:rsidR="00C74C66" w:rsidRPr="00C74C66" w:rsidRDefault="00C74C66" w:rsidP="00C74C66">
            <w:pPr>
              <w:ind w:right="57"/>
              <w:rPr>
                <w:rFonts w:eastAsia="Arial Unicode MS"/>
                <w:sz w:val="20"/>
                <w:szCs w:val="20"/>
              </w:rPr>
            </w:pPr>
            <w:r w:rsidRPr="00C74C66">
              <w:rPr>
                <w:rFonts w:eastAsia="MS Mincho"/>
                <w:sz w:val="20"/>
                <w:szCs w:val="20"/>
              </w:rPr>
              <w:t>Надходження коштів від відчуження майна, що знаходиться у комунальній власності</w:t>
            </w:r>
          </w:p>
        </w:tc>
        <w:tc>
          <w:tcPr>
            <w:tcW w:w="1338"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2500,0</w:t>
            </w:r>
          </w:p>
        </w:tc>
        <w:tc>
          <w:tcPr>
            <w:tcW w:w="1440"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619,1</w:t>
            </w:r>
          </w:p>
        </w:tc>
        <w:tc>
          <w:tcPr>
            <w:tcW w:w="1304"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24,8</w:t>
            </w:r>
          </w:p>
        </w:tc>
      </w:tr>
      <w:tr w:rsidR="00C74C66" w:rsidRPr="00C74C66" w:rsidTr="002F34D0">
        <w:trPr>
          <w:trHeight w:val="242"/>
        </w:trPr>
        <w:tc>
          <w:tcPr>
            <w:tcW w:w="5687" w:type="dxa"/>
            <w:tcMar>
              <w:top w:w="17" w:type="dxa"/>
              <w:left w:w="17" w:type="dxa"/>
              <w:bottom w:w="0" w:type="dxa"/>
              <w:right w:w="17" w:type="dxa"/>
            </w:tcMar>
            <w:vAlign w:val="center"/>
          </w:tcPr>
          <w:p w:rsidR="00C74C66" w:rsidRPr="00C74C66" w:rsidRDefault="00C74C66" w:rsidP="00C74C66">
            <w:pPr>
              <w:ind w:right="57"/>
              <w:rPr>
                <w:rFonts w:eastAsia="Arial Unicode MS"/>
                <w:sz w:val="20"/>
                <w:szCs w:val="20"/>
              </w:rPr>
            </w:pPr>
            <w:r w:rsidRPr="00C74C66">
              <w:rPr>
                <w:sz w:val="20"/>
                <w:szCs w:val="20"/>
              </w:rPr>
              <w:t>Надходження коштів від продажу землі</w:t>
            </w:r>
          </w:p>
        </w:tc>
        <w:tc>
          <w:tcPr>
            <w:tcW w:w="1338"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11576,0</w:t>
            </w:r>
          </w:p>
        </w:tc>
        <w:tc>
          <w:tcPr>
            <w:tcW w:w="1440"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8374,2</w:t>
            </w:r>
          </w:p>
        </w:tc>
        <w:tc>
          <w:tcPr>
            <w:tcW w:w="1304"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72,3</w:t>
            </w:r>
          </w:p>
        </w:tc>
      </w:tr>
      <w:tr w:rsidR="00C74C66" w:rsidRPr="00C74C66" w:rsidTr="002F34D0">
        <w:trPr>
          <w:trHeight w:val="529"/>
        </w:trPr>
        <w:tc>
          <w:tcPr>
            <w:tcW w:w="5687" w:type="dxa"/>
            <w:tcMar>
              <w:top w:w="17" w:type="dxa"/>
              <w:left w:w="17" w:type="dxa"/>
              <w:bottom w:w="0" w:type="dxa"/>
              <w:right w:w="17" w:type="dxa"/>
            </w:tcMar>
            <w:vAlign w:val="center"/>
          </w:tcPr>
          <w:p w:rsidR="00C74C66" w:rsidRPr="00C74C66" w:rsidRDefault="00C74C66" w:rsidP="00C74C66">
            <w:pPr>
              <w:ind w:right="57"/>
              <w:rPr>
                <w:sz w:val="20"/>
                <w:szCs w:val="20"/>
              </w:rPr>
            </w:pPr>
            <w:r w:rsidRPr="00C74C66">
              <w:rPr>
                <w:sz w:val="20"/>
                <w:szCs w:val="20"/>
              </w:rPr>
              <w:t>Надходження коштів пайової участі у розвитку інфраструктури населеного пункту</w:t>
            </w:r>
          </w:p>
        </w:tc>
        <w:tc>
          <w:tcPr>
            <w:tcW w:w="1338"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3000,0</w:t>
            </w:r>
          </w:p>
        </w:tc>
        <w:tc>
          <w:tcPr>
            <w:tcW w:w="1440"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2315,9</w:t>
            </w:r>
          </w:p>
        </w:tc>
        <w:tc>
          <w:tcPr>
            <w:tcW w:w="1304"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77,2</w:t>
            </w:r>
          </w:p>
        </w:tc>
      </w:tr>
      <w:tr w:rsidR="00C74C66" w:rsidRPr="00C74C66" w:rsidTr="002F34D0">
        <w:trPr>
          <w:trHeight w:val="537"/>
        </w:trPr>
        <w:tc>
          <w:tcPr>
            <w:tcW w:w="5687" w:type="dxa"/>
            <w:tcMar>
              <w:top w:w="17" w:type="dxa"/>
              <w:left w:w="17" w:type="dxa"/>
              <w:bottom w:w="0" w:type="dxa"/>
              <w:right w:w="17" w:type="dxa"/>
            </w:tcMar>
            <w:vAlign w:val="center"/>
          </w:tcPr>
          <w:p w:rsidR="00C74C66" w:rsidRPr="00C74C66" w:rsidRDefault="00C74C66" w:rsidP="00C74C66">
            <w:pPr>
              <w:ind w:right="57"/>
              <w:jc w:val="both"/>
              <w:rPr>
                <w:rFonts w:eastAsia="MS Mincho"/>
                <w:sz w:val="20"/>
                <w:szCs w:val="20"/>
              </w:rPr>
            </w:pPr>
            <w:r w:rsidRPr="00C74C66">
              <w:rPr>
                <w:rFonts w:eastAsia="MS Mincho"/>
                <w:sz w:val="20"/>
                <w:szCs w:val="20"/>
              </w:rPr>
              <w:t>Відсотки за користування довгостроковим кредитом на будівництво та придбання житла</w:t>
            </w:r>
          </w:p>
        </w:tc>
        <w:tc>
          <w:tcPr>
            <w:tcW w:w="1338"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42,0</w:t>
            </w:r>
          </w:p>
        </w:tc>
        <w:tc>
          <w:tcPr>
            <w:tcW w:w="1440"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39,0</w:t>
            </w:r>
          </w:p>
        </w:tc>
        <w:tc>
          <w:tcPr>
            <w:tcW w:w="1304"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92,9</w:t>
            </w:r>
          </w:p>
        </w:tc>
      </w:tr>
      <w:tr w:rsidR="00C74C66" w:rsidRPr="00C74C66" w:rsidTr="002F34D0">
        <w:trPr>
          <w:trHeight w:val="262"/>
        </w:trPr>
        <w:tc>
          <w:tcPr>
            <w:tcW w:w="5687" w:type="dxa"/>
            <w:tcMar>
              <w:top w:w="17" w:type="dxa"/>
              <w:left w:w="17" w:type="dxa"/>
              <w:bottom w:w="0" w:type="dxa"/>
              <w:right w:w="17" w:type="dxa"/>
            </w:tcMar>
            <w:vAlign w:val="center"/>
          </w:tcPr>
          <w:p w:rsidR="00C74C66" w:rsidRPr="00C74C66" w:rsidRDefault="00C74C66" w:rsidP="00C74C66">
            <w:pPr>
              <w:ind w:right="57"/>
              <w:rPr>
                <w:rFonts w:eastAsia="Arial Unicode MS"/>
                <w:sz w:val="20"/>
                <w:szCs w:val="20"/>
              </w:rPr>
            </w:pPr>
            <w:r w:rsidRPr="00C74C66">
              <w:rPr>
                <w:rFonts w:eastAsia="MS Mincho"/>
                <w:sz w:val="20"/>
                <w:szCs w:val="20"/>
              </w:rPr>
              <w:t>Власні надходження бюджетних установ</w:t>
            </w:r>
          </w:p>
        </w:tc>
        <w:tc>
          <w:tcPr>
            <w:tcW w:w="1338"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61432,2</w:t>
            </w:r>
          </w:p>
        </w:tc>
        <w:tc>
          <w:tcPr>
            <w:tcW w:w="1440"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57587,3</w:t>
            </w:r>
          </w:p>
        </w:tc>
        <w:tc>
          <w:tcPr>
            <w:tcW w:w="1304"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93,7</w:t>
            </w:r>
          </w:p>
        </w:tc>
      </w:tr>
      <w:tr w:rsidR="00C74C66" w:rsidRPr="00C74C66" w:rsidTr="002F34D0">
        <w:trPr>
          <w:trHeight w:val="266"/>
        </w:trPr>
        <w:tc>
          <w:tcPr>
            <w:tcW w:w="5687" w:type="dxa"/>
            <w:tcMar>
              <w:top w:w="17" w:type="dxa"/>
              <w:left w:w="17" w:type="dxa"/>
              <w:bottom w:w="0" w:type="dxa"/>
              <w:right w:w="17" w:type="dxa"/>
            </w:tcMar>
            <w:vAlign w:val="center"/>
          </w:tcPr>
          <w:p w:rsidR="00C74C66" w:rsidRPr="00C74C66" w:rsidRDefault="00C74C66" w:rsidP="00C74C66">
            <w:pPr>
              <w:ind w:right="57"/>
              <w:rPr>
                <w:sz w:val="20"/>
                <w:szCs w:val="20"/>
              </w:rPr>
            </w:pPr>
            <w:r w:rsidRPr="00C74C66">
              <w:rPr>
                <w:sz w:val="20"/>
                <w:szCs w:val="20"/>
              </w:rPr>
              <w:t xml:space="preserve">Інші надходження </w:t>
            </w:r>
            <w:r w:rsidRPr="00C74C66">
              <w:rPr>
                <w:i/>
                <w:sz w:val="20"/>
                <w:szCs w:val="20"/>
              </w:rPr>
              <w:t>(у  т.ч. грошові стягнення за шкоду, заподіяну порушенням законодавства про охорону навколишнього природного середовища; збір за провадження торгівельної діяльності нафтопродуктами; збір за забруднення навколишнього природного середовища, надходження до цільового фонду)</w:t>
            </w:r>
          </w:p>
        </w:tc>
        <w:tc>
          <w:tcPr>
            <w:tcW w:w="1338"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54,0</w:t>
            </w:r>
          </w:p>
        </w:tc>
        <w:tc>
          <w:tcPr>
            <w:tcW w:w="1440"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-53,5</w:t>
            </w:r>
          </w:p>
        </w:tc>
        <w:tc>
          <w:tcPr>
            <w:tcW w:w="1304"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-99,1</w:t>
            </w:r>
          </w:p>
        </w:tc>
      </w:tr>
      <w:tr w:rsidR="00C74C66" w:rsidRPr="00C74C66" w:rsidTr="002F34D0">
        <w:trPr>
          <w:trHeight w:val="256"/>
        </w:trPr>
        <w:tc>
          <w:tcPr>
            <w:tcW w:w="5687" w:type="dxa"/>
            <w:tcMar>
              <w:top w:w="17" w:type="dxa"/>
              <w:left w:w="17" w:type="dxa"/>
              <w:bottom w:w="0" w:type="dxa"/>
              <w:right w:w="17" w:type="dxa"/>
            </w:tcMar>
            <w:vAlign w:val="center"/>
          </w:tcPr>
          <w:p w:rsidR="00C74C66" w:rsidRPr="00C74C66" w:rsidRDefault="00C74C66" w:rsidP="00C74C66">
            <w:pPr>
              <w:ind w:right="57"/>
              <w:jc w:val="both"/>
              <w:rPr>
                <w:sz w:val="20"/>
                <w:szCs w:val="20"/>
              </w:rPr>
            </w:pPr>
            <w:r w:rsidRPr="00C74C66">
              <w:rPr>
                <w:sz w:val="20"/>
                <w:szCs w:val="20"/>
              </w:rPr>
              <w:t>Субвенція з державного бюджету місцевим бюджетам на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місцевого самоврядування</w:t>
            </w:r>
          </w:p>
        </w:tc>
        <w:tc>
          <w:tcPr>
            <w:tcW w:w="1338"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1475,9</w:t>
            </w:r>
          </w:p>
        </w:tc>
        <w:tc>
          <w:tcPr>
            <w:tcW w:w="1440"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1475,9</w:t>
            </w:r>
          </w:p>
        </w:tc>
        <w:tc>
          <w:tcPr>
            <w:tcW w:w="1304"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100,0</w:t>
            </w:r>
          </w:p>
        </w:tc>
      </w:tr>
      <w:tr w:rsidR="00C74C66" w:rsidRPr="00C74C66" w:rsidTr="002F34D0">
        <w:trPr>
          <w:trHeight w:val="256"/>
        </w:trPr>
        <w:tc>
          <w:tcPr>
            <w:tcW w:w="5687" w:type="dxa"/>
            <w:tcMar>
              <w:top w:w="17" w:type="dxa"/>
              <w:left w:w="17" w:type="dxa"/>
              <w:bottom w:w="0" w:type="dxa"/>
              <w:right w:w="17" w:type="dxa"/>
            </w:tcMar>
            <w:vAlign w:val="center"/>
          </w:tcPr>
          <w:p w:rsidR="00C74C66" w:rsidRPr="00C74C66" w:rsidRDefault="00C74C66" w:rsidP="00C74C66">
            <w:pPr>
              <w:ind w:right="57"/>
              <w:rPr>
                <w:sz w:val="20"/>
                <w:szCs w:val="20"/>
              </w:rPr>
            </w:pPr>
            <w:r w:rsidRPr="00C74C66">
              <w:rPr>
                <w:sz w:val="20"/>
                <w:szCs w:val="20"/>
              </w:rPr>
              <w:t>Інші субвенції</w:t>
            </w:r>
          </w:p>
        </w:tc>
        <w:tc>
          <w:tcPr>
            <w:tcW w:w="1338"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1093,0</w:t>
            </w:r>
          </w:p>
        </w:tc>
        <w:tc>
          <w:tcPr>
            <w:tcW w:w="1440"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1092,7</w:t>
            </w:r>
          </w:p>
        </w:tc>
        <w:tc>
          <w:tcPr>
            <w:tcW w:w="1304"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sz w:val="20"/>
                <w:szCs w:val="20"/>
              </w:rPr>
            </w:pPr>
            <w:r w:rsidRPr="00C74C66">
              <w:rPr>
                <w:rFonts w:eastAsia="Arial Unicode MS"/>
                <w:sz w:val="20"/>
                <w:szCs w:val="20"/>
              </w:rPr>
              <w:t>100,0</w:t>
            </w:r>
          </w:p>
        </w:tc>
      </w:tr>
      <w:tr w:rsidR="00C74C66" w:rsidRPr="00C74C66" w:rsidTr="002F34D0">
        <w:trPr>
          <w:trHeight w:val="246"/>
        </w:trPr>
        <w:tc>
          <w:tcPr>
            <w:tcW w:w="5687" w:type="dxa"/>
            <w:tcMar>
              <w:top w:w="17" w:type="dxa"/>
              <w:left w:w="17" w:type="dxa"/>
              <w:bottom w:w="0" w:type="dxa"/>
              <w:right w:w="17" w:type="dxa"/>
            </w:tcMar>
            <w:vAlign w:val="center"/>
          </w:tcPr>
          <w:p w:rsidR="00C74C66" w:rsidRPr="00C74C66" w:rsidRDefault="00C74C66" w:rsidP="00C74C66">
            <w:pPr>
              <w:ind w:right="57"/>
              <w:jc w:val="center"/>
              <w:rPr>
                <w:rFonts w:eastAsia="Arial Unicode MS"/>
                <w:b/>
                <w:bCs/>
                <w:sz w:val="20"/>
                <w:szCs w:val="20"/>
              </w:rPr>
            </w:pPr>
            <w:r w:rsidRPr="00C74C66">
              <w:rPr>
                <w:b/>
                <w:bCs/>
                <w:sz w:val="20"/>
                <w:szCs w:val="20"/>
              </w:rPr>
              <w:t>Всього:</w:t>
            </w:r>
          </w:p>
        </w:tc>
        <w:tc>
          <w:tcPr>
            <w:tcW w:w="1338" w:type="dxa"/>
            <w:tcMar>
              <w:top w:w="17" w:type="dxa"/>
              <w:left w:w="17" w:type="dxa"/>
              <w:bottom w:w="0" w:type="dxa"/>
              <w:right w:w="17" w:type="dxa"/>
            </w:tcMar>
            <w:vAlign w:val="center"/>
          </w:tcPr>
          <w:p w:rsidR="00C74C66" w:rsidRPr="00C74C66" w:rsidRDefault="00C74C66" w:rsidP="00C74C66">
            <w:pPr>
              <w:ind w:left="57" w:right="57" w:firstLine="56"/>
              <w:jc w:val="center"/>
              <w:rPr>
                <w:rFonts w:eastAsia="Arial Unicode MS"/>
                <w:b/>
                <w:bCs/>
                <w:sz w:val="20"/>
                <w:szCs w:val="20"/>
              </w:rPr>
            </w:pPr>
            <w:r w:rsidRPr="00C74C66">
              <w:rPr>
                <w:rFonts w:eastAsia="Arial Unicode MS"/>
                <w:b/>
                <w:bCs/>
                <w:sz w:val="20"/>
                <w:szCs w:val="20"/>
              </w:rPr>
              <w:t>81173,1</w:t>
            </w:r>
          </w:p>
        </w:tc>
        <w:tc>
          <w:tcPr>
            <w:tcW w:w="1440" w:type="dxa"/>
            <w:tcMar>
              <w:top w:w="17" w:type="dxa"/>
              <w:left w:w="17" w:type="dxa"/>
              <w:bottom w:w="0" w:type="dxa"/>
              <w:right w:w="17" w:type="dxa"/>
            </w:tcMar>
            <w:vAlign w:val="center"/>
          </w:tcPr>
          <w:p w:rsidR="00C74C66" w:rsidRPr="00C74C66" w:rsidRDefault="00C74C66" w:rsidP="00C74C66">
            <w:pPr>
              <w:ind w:right="57" w:firstLine="56"/>
              <w:jc w:val="center"/>
              <w:rPr>
                <w:rFonts w:eastAsia="Arial Unicode MS"/>
                <w:b/>
                <w:bCs/>
                <w:sz w:val="20"/>
                <w:szCs w:val="20"/>
              </w:rPr>
            </w:pPr>
            <w:r w:rsidRPr="00C74C66">
              <w:rPr>
                <w:rFonts w:eastAsia="Arial Unicode MS"/>
                <w:b/>
                <w:bCs/>
                <w:sz w:val="20"/>
                <w:szCs w:val="20"/>
              </w:rPr>
              <w:t>71450,6</w:t>
            </w:r>
          </w:p>
        </w:tc>
        <w:tc>
          <w:tcPr>
            <w:tcW w:w="1304" w:type="dxa"/>
            <w:tcMar>
              <w:top w:w="17" w:type="dxa"/>
              <w:left w:w="17" w:type="dxa"/>
              <w:bottom w:w="0" w:type="dxa"/>
              <w:right w:w="17" w:type="dxa"/>
            </w:tcMar>
            <w:vAlign w:val="center"/>
          </w:tcPr>
          <w:p w:rsidR="00C74C66" w:rsidRPr="00C74C66" w:rsidRDefault="00C74C66" w:rsidP="00C74C66">
            <w:pPr>
              <w:ind w:right="57" w:firstLine="56"/>
              <w:jc w:val="center"/>
              <w:rPr>
                <w:rFonts w:eastAsia="Arial Unicode MS"/>
                <w:b/>
                <w:bCs/>
                <w:sz w:val="20"/>
                <w:szCs w:val="20"/>
              </w:rPr>
            </w:pPr>
            <w:r w:rsidRPr="00C74C66">
              <w:rPr>
                <w:rFonts w:eastAsia="Arial Unicode MS"/>
                <w:b/>
                <w:bCs/>
                <w:sz w:val="20"/>
                <w:szCs w:val="20"/>
              </w:rPr>
              <w:t>88,0</w:t>
            </w:r>
          </w:p>
        </w:tc>
      </w:tr>
    </w:tbl>
    <w:p w:rsidR="00C74C66" w:rsidRDefault="00C74C66" w:rsidP="00C74C66">
      <w:pPr>
        <w:ind w:firstLine="540"/>
        <w:jc w:val="center"/>
        <w:rPr>
          <w:rFonts w:eastAsia="MS Mincho"/>
          <w:b/>
          <w:bCs/>
        </w:rPr>
      </w:pPr>
    </w:p>
    <w:p w:rsidR="00C74C66" w:rsidRDefault="00C74C66" w:rsidP="00C74C66">
      <w:pPr>
        <w:ind w:firstLine="540"/>
        <w:jc w:val="center"/>
        <w:rPr>
          <w:rFonts w:eastAsia="MS Mincho"/>
          <w:b/>
          <w:bCs/>
        </w:rPr>
      </w:pPr>
    </w:p>
    <w:p w:rsidR="00C74C66" w:rsidRDefault="00C74C66" w:rsidP="00C74C66">
      <w:pPr>
        <w:ind w:firstLine="540"/>
        <w:jc w:val="center"/>
        <w:rPr>
          <w:rFonts w:eastAsia="MS Mincho"/>
          <w:b/>
          <w:bCs/>
        </w:rPr>
      </w:pPr>
    </w:p>
    <w:p w:rsidR="00C74C66" w:rsidRDefault="00C74C66" w:rsidP="00C74C66">
      <w:pPr>
        <w:ind w:firstLine="540"/>
        <w:jc w:val="center"/>
        <w:rPr>
          <w:rFonts w:eastAsia="MS Mincho"/>
          <w:b/>
          <w:bCs/>
        </w:rPr>
      </w:pPr>
    </w:p>
    <w:p w:rsidR="00C74C66" w:rsidRPr="00C74C66" w:rsidRDefault="00C74C66" w:rsidP="00C74C66">
      <w:pPr>
        <w:ind w:firstLine="540"/>
        <w:jc w:val="center"/>
        <w:rPr>
          <w:rFonts w:eastAsia="MS Mincho"/>
          <w:b/>
          <w:bCs/>
          <w:lang w:val="x-none"/>
        </w:rPr>
      </w:pPr>
      <w:r w:rsidRPr="00C74C66">
        <w:rPr>
          <w:rFonts w:eastAsia="MS Mincho"/>
          <w:b/>
          <w:bCs/>
          <w:lang w:val="x-none"/>
        </w:rPr>
        <w:lastRenderedPageBreak/>
        <w:t xml:space="preserve">Структура надходжень спеціального фонду бюджету міста </w:t>
      </w:r>
    </w:p>
    <w:p w:rsidR="00C74C66" w:rsidRPr="00C74C66" w:rsidRDefault="00C74C66" w:rsidP="00C74C66">
      <w:pPr>
        <w:ind w:firstLine="540"/>
        <w:jc w:val="center"/>
        <w:rPr>
          <w:rFonts w:eastAsia="MS Mincho"/>
          <w:b/>
          <w:bCs/>
          <w:lang w:val="x-none"/>
        </w:rPr>
      </w:pPr>
      <w:r w:rsidRPr="00C74C66">
        <w:rPr>
          <w:rFonts w:eastAsia="MS Mincho"/>
          <w:b/>
          <w:bCs/>
          <w:lang w:val="x-none"/>
        </w:rPr>
        <w:t xml:space="preserve">за </w:t>
      </w:r>
      <w:r w:rsidRPr="00C74C66">
        <w:rPr>
          <w:b/>
          <w:lang w:val="x-none"/>
        </w:rPr>
        <w:t>2015 рік</w:t>
      </w:r>
      <w:r w:rsidRPr="00C74C66">
        <w:rPr>
          <w:rFonts w:ascii="Courier New" w:hAnsi="Courier New"/>
          <w:lang w:val="x-none"/>
        </w:rPr>
        <w:t xml:space="preserve"> </w:t>
      </w:r>
      <w:r w:rsidRPr="00C74C66">
        <w:rPr>
          <w:rFonts w:eastAsia="MS Mincho"/>
          <w:b/>
          <w:bCs/>
          <w:lang w:val="x-none"/>
        </w:rPr>
        <w:t>(без трансфертів)</w:t>
      </w:r>
    </w:p>
    <w:p w:rsidR="00C74C66" w:rsidRPr="00C74C66" w:rsidRDefault="00C74C66" w:rsidP="00C74C66">
      <w:pPr>
        <w:ind w:firstLine="540"/>
        <w:jc w:val="center"/>
        <w:rPr>
          <w:rFonts w:eastAsia="MS Mincho"/>
          <w:b/>
          <w:bCs/>
          <w:highlight w:val="yellow"/>
          <w:lang w:val="x-none"/>
        </w:rPr>
      </w:pPr>
    </w:p>
    <w:p w:rsidR="00C74C66" w:rsidRPr="00C74C66" w:rsidRDefault="00C74C66" w:rsidP="00C74C66">
      <w:pPr>
        <w:ind w:firstLine="567"/>
        <w:jc w:val="center"/>
        <w:rPr>
          <w:rFonts w:eastAsia="MS Mincho"/>
          <w:highlight w:val="yellow"/>
          <w:lang w:val="x-none"/>
        </w:rPr>
      </w:pPr>
      <w:r>
        <w:rPr>
          <w:rFonts w:eastAsia="MS Mincho"/>
          <w:noProof/>
          <w:lang w:val="ru-RU"/>
        </w:rPr>
        <w:drawing>
          <wp:inline distT="0" distB="0" distL="0" distR="0" wp14:anchorId="01E08149">
            <wp:extent cx="4380865" cy="241935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0865" cy="2419350"/>
                    </a:xfrm>
                    <a:prstGeom prst="rect">
                      <a:avLst/>
                    </a:prstGeom>
                    <a:noFill/>
                  </pic:spPr>
                </pic:pic>
              </a:graphicData>
            </a:graphic>
          </wp:inline>
        </w:drawing>
      </w:r>
    </w:p>
    <w:p w:rsidR="00C74C66" w:rsidRPr="00C74C66" w:rsidRDefault="00C74C66" w:rsidP="00C74C66">
      <w:pPr>
        <w:ind w:firstLine="540"/>
        <w:jc w:val="both"/>
        <w:rPr>
          <w:rFonts w:eastAsia="MS Mincho"/>
          <w:b/>
          <w:bCs/>
          <w:lang w:val="x-none"/>
        </w:rPr>
      </w:pPr>
      <w:r w:rsidRPr="00C74C66">
        <w:rPr>
          <w:rFonts w:eastAsia="MS Mincho"/>
          <w:lang w:val="x-none"/>
        </w:rPr>
        <w:t xml:space="preserve">Найбільшу питому вагу у загальних надходженнях спеціального фонду (без трансфертів) </w:t>
      </w:r>
      <w:r w:rsidRPr="00C74C66">
        <w:rPr>
          <w:rFonts w:eastAsia="MS Mincho"/>
        </w:rPr>
        <w:t>у</w:t>
      </w:r>
      <w:r w:rsidRPr="00C74C66">
        <w:rPr>
          <w:rFonts w:eastAsia="MS Mincho"/>
          <w:lang w:val="x-none"/>
        </w:rPr>
        <w:t xml:space="preserve"> 2015 р</w:t>
      </w:r>
      <w:r w:rsidRPr="00C74C66">
        <w:rPr>
          <w:rFonts w:eastAsia="MS Mincho"/>
        </w:rPr>
        <w:t>оці</w:t>
      </w:r>
      <w:r w:rsidRPr="00C74C66">
        <w:rPr>
          <w:rFonts w:eastAsia="MS Mincho"/>
          <w:lang w:val="x-none"/>
        </w:rPr>
        <w:t xml:space="preserve"> займають власні надходження бюджетних установ (57587,3 тис.грн.) – 83,6 відс. та надходження від продажу землі та нематеріальних активів (8374,2 тис.грн.) – 12,1 відс. </w:t>
      </w:r>
    </w:p>
    <w:p w:rsidR="00C74C66" w:rsidRPr="00C74C66" w:rsidRDefault="00C74C66" w:rsidP="00C74C66">
      <w:pPr>
        <w:widowControl w:val="0"/>
        <w:jc w:val="both"/>
        <w:rPr>
          <w:rFonts w:eastAsia="MS Mincho"/>
          <w:highlight w:val="yellow"/>
        </w:rPr>
      </w:pPr>
    </w:p>
    <w:p w:rsidR="00C71590" w:rsidRPr="00C71590" w:rsidRDefault="00C71590" w:rsidP="00C71590">
      <w:pPr>
        <w:keepNext/>
        <w:jc w:val="center"/>
        <w:outlineLvl w:val="2"/>
        <w:rPr>
          <w:b/>
          <w:bCs/>
          <w:i/>
          <w:iCs/>
          <w:u w:val="single"/>
        </w:rPr>
      </w:pPr>
      <w:r w:rsidRPr="00C71590">
        <w:rPr>
          <w:b/>
          <w:bCs/>
          <w:i/>
          <w:iCs/>
          <w:u w:val="single"/>
        </w:rPr>
        <w:t>ВИДАТКОВА ЧАСТИНА та КРЕДИТУВАННЯ</w:t>
      </w:r>
    </w:p>
    <w:p w:rsidR="00C71590" w:rsidRPr="00C71590" w:rsidRDefault="00C71590" w:rsidP="00C71590">
      <w:pPr>
        <w:spacing w:before="120"/>
        <w:ind w:firstLine="539"/>
        <w:jc w:val="both"/>
        <w:rPr>
          <w:lang w:eastAsia="x-none"/>
        </w:rPr>
      </w:pPr>
      <w:r w:rsidRPr="00C71590">
        <w:rPr>
          <w:lang w:eastAsia="x-none"/>
        </w:rPr>
        <w:t>За 2015 рік міський бюджет виконано по видатках та кредитуванню на загальну суму 1 574 656,7 тис.грн. при уточненому річному плані 1 702 586,0 тис.грн., або на 92,5 відс.</w:t>
      </w:r>
    </w:p>
    <w:p w:rsidR="00C71590" w:rsidRPr="00C71590" w:rsidRDefault="00C71590" w:rsidP="00C71590">
      <w:pPr>
        <w:ind w:firstLine="539"/>
        <w:jc w:val="both"/>
        <w:rPr>
          <w:lang w:eastAsia="x-none"/>
        </w:rPr>
      </w:pPr>
      <w:r w:rsidRPr="00C71590">
        <w:rPr>
          <w:lang w:eastAsia="x-none"/>
        </w:rPr>
        <w:t>В тому числі:</w:t>
      </w:r>
    </w:p>
    <w:p w:rsidR="00C71590" w:rsidRPr="00C71590" w:rsidRDefault="00C71590" w:rsidP="00C71590">
      <w:pPr>
        <w:ind w:firstLine="539"/>
        <w:jc w:val="both"/>
        <w:rPr>
          <w:lang w:eastAsia="x-none"/>
        </w:rPr>
      </w:pPr>
      <w:r w:rsidRPr="00C71590">
        <w:rPr>
          <w:lang w:eastAsia="x-none"/>
        </w:rPr>
        <w:t xml:space="preserve">- </w:t>
      </w:r>
      <w:r w:rsidRPr="00C71590">
        <w:rPr>
          <w:b/>
          <w:bCs/>
          <w:lang w:eastAsia="x-none"/>
        </w:rPr>
        <w:t>видатки по загальному фонду бюджету</w:t>
      </w:r>
      <w:r w:rsidRPr="00C71590">
        <w:rPr>
          <w:lang w:eastAsia="x-none"/>
        </w:rPr>
        <w:t xml:space="preserve"> склали  1 314 210,9 тис.грн., або 96,2 відс. до уточненого річного плану (з них за рахунок субвенцій з державного та обласного бюджету – 827 485,5 тис.грн., або 96,3 відс. до уточненого річного плану);</w:t>
      </w:r>
    </w:p>
    <w:p w:rsidR="00C71590" w:rsidRPr="00C71590" w:rsidRDefault="00C71590" w:rsidP="00C71590">
      <w:pPr>
        <w:ind w:firstLine="539"/>
        <w:jc w:val="both"/>
        <w:rPr>
          <w:lang w:eastAsia="x-none"/>
        </w:rPr>
      </w:pPr>
      <w:r w:rsidRPr="00C71590">
        <w:rPr>
          <w:lang w:eastAsia="x-none"/>
        </w:rPr>
        <w:t xml:space="preserve">- </w:t>
      </w:r>
      <w:r w:rsidRPr="00C71590">
        <w:rPr>
          <w:b/>
          <w:bCs/>
          <w:lang w:eastAsia="x-none"/>
        </w:rPr>
        <w:t>видатки по спеціальному фонду бюджету</w:t>
      </w:r>
      <w:r w:rsidRPr="00C71590">
        <w:rPr>
          <w:lang w:eastAsia="x-none"/>
        </w:rPr>
        <w:t xml:space="preserve"> склали 260 261,3 тис.грн., або 80,7 відс. до уточненого річного плану (з них за рахунок субвенцій з державного та обласного бюджету – 2 985,5 тис.грн., або 100,0 відс. до уточненого річного плану). Видатки бюджету розвитку за 2015 рік склали 188 259,0 тис.грн., або 78,0 відс. до уточненого річного плану;</w:t>
      </w:r>
    </w:p>
    <w:p w:rsidR="00C71590" w:rsidRPr="00C71590" w:rsidRDefault="00C71590" w:rsidP="00C71590">
      <w:pPr>
        <w:ind w:firstLine="539"/>
        <w:jc w:val="both"/>
        <w:rPr>
          <w:lang w:eastAsia="x-none"/>
        </w:rPr>
      </w:pPr>
      <w:r w:rsidRPr="00C71590">
        <w:rPr>
          <w:lang w:eastAsia="x-none"/>
        </w:rPr>
        <w:t xml:space="preserve">- </w:t>
      </w:r>
      <w:r w:rsidRPr="00C71590">
        <w:rPr>
          <w:b/>
          <w:bCs/>
          <w:lang w:eastAsia="x-none"/>
        </w:rPr>
        <w:t xml:space="preserve">на надання кредитів згідно Програми молодіжного житлового кредитування в     м. Черкаси </w:t>
      </w:r>
      <w:r w:rsidRPr="00C71590">
        <w:rPr>
          <w:lang w:eastAsia="x-none"/>
        </w:rPr>
        <w:t>спрямовано 1 154,9 тис.грн., або 64,1 відс. до уточненого річного плану, в тому числі по загальному фонду – 507,8 тис.грн., або 100,0 відс. до уточненого річного плану по спеціальному фонду –  647,1 тис.грн., або 50,0 відс. до уточненого річного плану;</w:t>
      </w:r>
    </w:p>
    <w:p w:rsidR="00C71590" w:rsidRPr="00C71590" w:rsidRDefault="00C71590" w:rsidP="00C71590">
      <w:pPr>
        <w:ind w:firstLine="539"/>
        <w:jc w:val="both"/>
        <w:rPr>
          <w:lang w:eastAsia="x-none"/>
        </w:rPr>
      </w:pPr>
      <w:r w:rsidRPr="00C71590">
        <w:rPr>
          <w:bCs/>
          <w:lang w:eastAsia="x-none"/>
        </w:rPr>
        <w:t xml:space="preserve">- </w:t>
      </w:r>
      <w:r w:rsidRPr="00C71590">
        <w:rPr>
          <w:b/>
          <w:bCs/>
          <w:lang w:eastAsia="x-none"/>
        </w:rPr>
        <w:t xml:space="preserve">повернення коштів, наданих для кредитування громадян на будівництво та придбання житла </w:t>
      </w:r>
      <w:r w:rsidRPr="00C71590">
        <w:rPr>
          <w:lang w:eastAsia="x-none"/>
        </w:rPr>
        <w:t>становить 970,4 тис.грн., в тому числі надходження коштів до загального фонду від повернення позик, які надавались у минулі роки на будівництво житлово-будівельних кооперативів складає 56,7 тис.грн., надходження коштів до спеціального фонду від повернення кредитів, наданих на будівництво житла для молодих сімей, складає 913,7 тис.грн.</w:t>
      </w:r>
    </w:p>
    <w:p w:rsidR="00C71590" w:rsidRPr="00C71590" w:rsidRDefault="00C71590" w:rsidP="00C71590">
      <w:pPr>
        <w:widowControl w:val="0"/>
        <w:ind w:firstLine="539"/>
        <w:jc w:val="both"/>
      </w:pPr>
      <w:r w:rsidRPr="00C71590">
        <w:t>В порівнянні з минулим роком загальний обсяг видатків та кредитування за звітний період зріс на 293 963,6 тис.грн., або на 23,0 відс., з них по загальному фонду обсяг видатків та кредитування зріс на 335 372,4 тис.грн., або на 34,2 відс., по спеціальному фонду - зменшився на 40 813,2 тис.грн., або на 13,6 відс. Видатки бюджету розвитку за 2015 рік в порівнянні з 2014 роком збільшилися на 116 217,3 тис.грн., або на 161,3 відс.</w:t>
      </w:r>
    </w:p>
    <w:p w:rsidR="00C71590" w:rsidRPr="00C71590" w:rsidRDefault="00C71590" w:rsidP="00C71590">
      <w:pPr>
        <w:keepNext/>
        <w:spacing w:line="0" w:lineRule="atLeast"/>
        <w:ind w:firstLine="539"/>
        <w:jc w:val="both"/>
        <w:outlineLvl w:val="2"/>
      </w:pPr>
      <w:r w:rsidRPr="00C71590">
        <w:lastRenderedPageBreak/>
        <w:t>Без урахування субвенцій з державного та обласного бюджетів на видатки та кредитування по загальному фонду</w:t>
      </w:r>
      <w:r w:rsidRPr="00C71590">
        <w:rPr>
          <w:b/>
          <w:bCs/>
        </w:rPr>
        <w:t xml:space="preserve"> </w:t>
      </w:r>
      <w:r w:rsidRPr="00C71590">
        <w:t>міського бюджету за 2015 рік використано в сумі 487 176,5 тис.грн., що складає 96,0 відс. до уточненого річного плану. В порівнянні з 2014 роком цей показник зменшився на 153 616,5 тис.грн., або на 24,0 відс.</w:t>
      </w:r>
    </w:p>
    <w:p w:rsidR="00C71590" w:rsidRPr="00C71590" w:rsidRDefault="00C71590" w:rsidP="00C71590">
      <w:pPr>
        <w:keepNext/>
        <w:spacing w:before="120"/>
        <w:jc w:val="center"/>
        <w:outlineLvl w:val="0"/>
        <w:rPr>
          <w:b/>
          <w:bCs/>
        </w:rPr>
      </w:pPr>
      <w:r w:rsidRPr="00C71590">
        <w:rPr>
          <w:b/>
          <w:bCs/>
        </w:rPr>
        <w:t>Структура видатків загального фонду міського бюджету за 2015 рік (без урахування субвенцій з державного і обласного бюджетів, повернення та надання кредитів)</w:t>
      </w:r>
    </w:p>
    <w:p w:rsidR="00C71590" w:rsidRPr="00C71590" w:rsidRDefault="00C71590" w:rsidP="00C71590">
      <w:pPr>
        <w:keepNext/>
        <w:ind w:firstLine="540"/>
        <w:jc w:val="both"/>
        <w:outlineLvl w:val="2"/>
        <w:rPr>
          <w:highlight w:val="yellow"/>
        </w:rPr>
      </w:pPr>
    </w:p>
    <w:p w:rsidR="00C71590" w:rsidRPr="00C71590" w:rsidRDefault="00C71590" w:rsidP="00C71590">
      <w:pPr>
        <w:rPr>
          <w:highlight w:val="yellow"/>
        </w:rPr>
      </w:pPr>
      <w:r>
        <w:rPr>
          <w:noProof/>
          <w:lang w:val="ru-RU"/>
        </w:rPr>
        <w:drawing>
          <wp:inline distT="0" distB="0" distL="0" distR="0">
            <wp:extent cx="6118860" cy="27051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860" cy="2705100"/>
                    </a:xfrm>
                    <a:prstGeom prst="rect">
                      <a:avLst/>
                    </a:prstGeom>
                    <a:noFill/>
                    <a:ln>
                      <a:noFill/>
                    </a:ln>
                  </pic:spPr>
                </pic:pic>
              </a:graphicData>
            </a:graphic>
          </wp:inline>
        </w:drawing>
      </w:r>
    </w:p>
    <w:p w:rsidR="00C71590" w:rsidRPr="00C71590" w:rsidRDefault="00C71590" w:rsidP="00C71590">
      <w:pPr>
        <w:rPr>
          <w:highlight w:val="yellow"/>
        </w:rPr>
      </w:pPr>
      <w:r>
        <w:rPr>
          <w:noProof/>
          <w:lang w:val="ru-RU"/>
        </w:rPr>
        <w:drawing>
          <wp:inline distT="0" distB="0" distL="0" distR="0">
            <wp:extent cx="6118860" cy="27051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860" cy="2705100"/>
                    </a:xfrm>
                    <a:prstGeom prst="rect">
                      <a:avLst/>
                    </a:prstGeom>
                    <a:noFill/>
                    <a:ln>
                      <a:noFill/>
                    </a:ln>
                  </pic:spPr>
                </pic:pic>
              </a:graphicData>
            </a:graphic>
          </wp:inline>
        </w:drawing>
      </w:r>
    </w:p>
    <w:p w:rsidR="00C71590" w:rsidRPr="00C71590" w:rsidRDefault="00C71590" w:rsidP="00C71590">
      <w:pPr>
        <w:widowControl w:val="0"/>
        <w:ind w:firstLine="540"/>
        <w:jc w:val="both"/>
        <w:rPr>
          <w:highlight w:val="yellow"/>
        </w:rPr>
      </w:pPr>
      <w:r w:rsidRPr="00C71590">
        <w:t xml:space="preserve">В цілому на захищені видатки по загальному фонду за 2015 рік спрямовано 1 142 889,0 тис.грн., або 98,9 відс. до уточненого річного плану (з них 772 619,6 тис.грн., або 99,5 відс. до уточненого річного плану спрямовано за рахунок субвенцій з державного та обласного бюджетів). В порівнянні з відповідним періодом 2014 року по загальному фонду видатки на захищені статті зросли на 252 639,0 тис.грн., або на 28,4 відс., у т.ч. захищенні статті видатків за рахунок субвенцій з державного та обласного бюджетів зросли на 144,4 відс. </w:t>
      </w:r>
    </w:p>
    <w:p w:rsidR="00C71590" w:rsidRPr="00C71590" w:rsidRDefault="00C71590" w:rsidP="00C71590">
      <w:pPr>
        <w:widowControl w:val="0"/>
        <w:ind w:firstLine="540"/>
        <w:jc w:val="both"/>
      </w:pPr>
      <w:r w:rsidRPr="00C71590">
        <w:t>Питома вага захищених статей видатків в обсязі видатків та кредитування загального фонду за 2015 рік сягнула 86,9 відс. За виключенням тих видатків, які фінансуються за рахунок субвенцій з державного та обласного бюджетів, питома вага захищених статей видатків в обсязі видатків та кредитування склала 76,0 відс.</w:t>
      </w:r>
    </w:p>
    <w:p w:rsidR="00C71590" w:rsidRPr="00C71590" w:rsidRDefault="00C71590" w:rsidP="00C71590">
      <w:pPr>
        <w:tabs>
          <w:tab w:val="left" w:pos="4536"/>
          <w:tab w:val="left" w:pos="5670"/>
          <w:tab w:val="left" w:pos="5812"/>
        </w:tabs>
        <w:ind w:firstLine="540"/>
        <w:jc w:val="both"/>
        <w:rPr>
          <w:bCs/>
        </w:rPr>
      </w:pPr>
      <w:r w:rsidRPr="00C71590">
        <w:t>Штатна чисельність працівників галузей соціально-культурної сфери протягом року збільшилась на 76,8 шт.од. та станом на 01.01.2016 року  складає 12299,97 шт.од. (станом на 01.01.2015 – 12223,17 шт.од.), відповідно фактично зайнята чисельність збільшилась на 113,85 од. та складає 12132,06 од. (станом на 01.01.2015 – 12018,21 од.). Середньомісячна фактично зайнята чисельність по загальному фонду за рік становить 12050,93 од.</w:t>
      </w:r>
    </w:p>
    <w:p w:rsidR="00C71590" w:rsidRPr="00C71590" w:rsidRDefault="00C71590" w:rsidP="00C71590">
      <w:pPr>
        <w:keepNext/>
        <w:ind w:firstLine="540"/>
        <w:jc w:val="both"/>
        <w:outlineLvl w:val="2"/>
      </w:pPr>
      <w:r w:rsidRPr="00C71590">
        <w:lastRenderedPageBreak/>
        <w:t xml:space="preserve">По спеціальному фонду на видатки та кредитування (без урахування субвенцій з державного, обласного бюджетів, </w:t>
      </w:r>
      <w:r w:rsidRPr="00C71590">
        <w:rPr>
          <w:bCs/>
        </w:rPr>
        <w:t>повернення та надання кредитів</w:t>
      </w:r>
      <w:r w:rsidRPr="00C71590">
        <w:t xml:space="preserve">) використано в сумі 257 275,8 тис.грн., що складає 80,6 відс. </w:t>
      </w:r>
      <w:r w:rsidRPr="00C71590">
        <w:rPr>
          <w:bCs/>
        </w:rPr>
        <w:t>до уточненого річного плану</w:t>
      </w:r>
      <w:r w:rsidRPr="00C71590">
        <w:t>. В порівнянні з 2014 роком цей показник збільшився на 129 433,8 тис.грн., або на 101,2 відс.</w:t>
      </w:r>
    </w:p>
    <w:p w:rsidR="00C71590" w:rsidRPr="00C71590" w:rsidRDefault="00C71590" w:rsidP="00C71590">
      <w:pPr>
        <w:jc w:val="center"/>
        <w:rPr>
          <w:b/>
          <w:iCs/>
        </w:rPr>
      </w:pPr>
      <w:r w:rsidRPr="00C71590">
        <w:rPr>
          <w:b/>
          <w:iCs/>
        </w:rPr>
        <w:t xml:space="preserve">Структура видатків спеціального фонду міського бюджету за 2015 рік </w:t>
      </w:r>
    </w:p>
    <w:p w:rsidR="00C71590" w:rsidRPr="00C71590" w:rsidRDefault="00C71590" w:rsidP="00C71590">
      <w:pPr>
        <w:jc w:val="center"/>
        <w:rPr>
          <w:b/>
          <w:iCs/>
        </w:rPr>
      </w:pPr>
      <w:r w:rsidRPr="00C71590">
        <w:rPr>
          <w:b/>
          <w:iCs/>
        </w:rPr>
        <w:t>(без урахування субвенцій з державного і обласного бюджетів</w:t>
      </w:r>
      <w:r w:rsidRPr="00C71590">
        <w:rPr>
          <w:i/>
          <w:iCs/>
        </w:rPr>
        <w:t>,</w:t>
      </w:r>
      <w:r w:rsidRPr="00C71590">
        <w:rPr>
          <w:b/>
          <w:iCs/>
        </w:rPr>
        <w:t xml:space="preserve"> повернення та надання кредитів)</w:t>
      </w:r>
    </w:p>
    <w:p w:rsidR="00C71590" w:rsidRPr="00C71590" w:rsidRDefault="00C71590" w:rsidP="00C71590">
      <w:pPr>
        <w:jc w:val="center"/>
        <w:rPr>
          <w:szCs w:val="22"/>
          <w:highlight w:val="yellow"/>
        </w:rPr>
      </w:pPr>
      <w:r>
        <w:rPr>
          <w:noProof/>
          <w:lang w:val="ru-RU"/>
        </w:rPr>
        <w:drawing>
          <wp:inline distT="0" distB="0" distL="0" distR="0">
            <wp:extent cx="6057900" cy="2948940"/>
            <wp:effectExtent l="0" t="0" r="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900" cy="2948940"/>
                    </a:xfrm>
                    <a:prstGeom prst="rect">
                      <a:avLst/>
                    </a:prstGeom>
                    <a:noFill/>
                    <a:ln>
                      <a:noFill/>
                    </a:ln>
                  </pic:spPr>
                </pic:pic>
              </a:graphicData>
            </a:graphic>
          </wp:inline>
        </w:drawing>
      </w:r>
    </w:p>
    <w:p w:rsidR="00C71590" w:rsidRPr="00C71590" w:rsidRDefault="00C71590" w:rsidP="00C71590">
      <w:pPr>
        <w:widowControl w:val="0"/>
        <w:ind w:firstLine="709"/>
        <w:jc w:val="both"/>
        <w:rPr>
          <w:bCs/>
          <w:lang w:val="x-none" w:eastAsia="x-none"/>
        </w:rPr>
      </w:pPr>
      <w:r w:rsidRPr="00C71590">
        <w:rPr>
          <w:bCs/>
          <w:lang w:val="x-none" w:eastAsia="x-none"/>
        </w:rPr>
        <w:t xml:space="preserve">За 2015 рік </w:t>
      </w:r>
      <w:r w:rsidRPr="00C71590">
        <w:rPr>
          <w:b/>
          <w:bCs/>
          <w:lang w:val="x-none" w:eastAsia="x-none"/>
        </w:rPr>
        <w:t>кредиторська заборгованість по загальному фонду</w:t>
      </w:r>
      <w:r w:rsidRPr="00C71590">
        <w:rPr>
          <w:bCs/>
          <w:lang w:val="x-none" w:eastAsia="x-none"/>
        </w:rPr>
        <w:t xml:space="preserve"> міського бюджету склала 59 00</w:t>
      </w:r>
      <w:r w:rsidRPr="00C71590">
        <w:rPr>
          <w:bCs/>
          <w:lang w:val="ru-RU" w:eastAsia="x-none"/>
        </w:rPr>
        <w:t>8</w:t>
      </w:r>
      <w:r w:rsidRPr="00C71590">
        <w:rPr>
          <w:bCs/>
          <w:lang w:val="x-none" w:eastAsia="x-none"/>
        </w:rPr>
        <w:t>,9 тис. грн., що на 35 20</w:t>
      </w:r>
      <w:r w:rsidRPr="00C71590">
        <w:rPr>
          <w:bCs/>
          <w:lang w:val="ru-RU" w:eastAsia="x-none"/>
        </w:rPr>
        <w:t>6</w:t>
      </w:r>
      <w:r w:rsidRPr="00C71590">
        <w:rPr>
          <w:bCs/>
          <w:lang w:val="x-none" w:eastAsia="x-none"/>
        </w:rPr>
        <w:t>,5 тис. грн., або в 1,5 більше заборгованості на початок 2015 року. Майже 100 % цієї заборгованості – це заборгованість по видатках, які фінансуються за рахунок субвенцій з державного бюджету, що складає 59 007,8 тис. грн.             (51 227,5 тис. грн. – субвенції з державного бюджету на надання пільг та субсидій на житлово-комунальне господарство; 746,5 тис. грн. – пільги зв’язку; 504,0 тис. грн. –  пільги громадянам, які постраждали внаслідок Чорнобильської катастрофи; 0,4 тис. грн. – освітня субвенція з державного бюджету місцевим бюджетам та 6 529,4 тис. грн. - інші пільги передбачені законодавством України)</w:t>
      </w:r>
    </w:p>
    <w:p w:rsidR="00C71590" w:rsidRPr="00C71590" w:rsidRDefault="00C71590" w:rsidP="00C71590">
      <w:pPr>
        <w:widowControl w:val="0"/>
        <w:ind w:firstLine="709"/>
        <w:jc w:val="both"/>
      </w:pPr>
      <w:r w:rsidRPr="00C71590">
        <w:t>Кредиторська заборгованість без урахування заборгованості по видатках, які фінансуються за рахунок субвенцій з державного бюджету та заборгованості по оплаті праці та нарахуваннях на заробітну плату, склала 0,1 тис. грн. по галузі «Освіта»</w:t>
      </w:r>
      <w:r w:rsidRPr="00C71590">
        <w:rPr>
          <w:lang w:val="ru-RU"/>
        </w:rPr>
        <w:t>.</w:t>
      </w:r>
      <w:r w:rsidRPr="00C71590">
        <w:t xml:space="preserve"> Основною причиною виникнення заборгованості є реєстрація зобов’язань в межах загального обсягу бюджетних асигнувань, затверджених в кошторисі. </w:t>
      </w:r>
    </w:p>
    <w:p w:rsidR="00C71590" w:rsidRPr="00C71590" w:rsidRDefault="00C71590" w:rsidP="00C71590">
      <w:pPr>
        <w:widowControl w:val="0"/>
        <w:snapToGrid w:val="0"/>
        <w:ind w:firstLine="709"/>
        <w:jc w:val="both"/>
      </w:pPr>
      <w:r w:rsidRPr="00C71590">
        <w:t>Заборгованість по оплаті праці та нарахуваннях на заробітну плату працівникам бюджетних установ міста становить 1,0 тис. грн. по галузі «Охорона здоров’я». Причиною виникнення заборгованості є реєстрація фінансових зобов’язань в останні дні місяця. Заборгованість по інших захищених статтях видатків відсутня.</w:t>
      </w:r>
    </w:p>
    <w:p w:rsidR="00C71590" w:rsidRPr="00C71590" w:rsidRDefault="00C71590" w:rsidP="00C71590">
      <w:pPr>
        <w:widowControl w:val="0"/>
        <w:tabs>
          <w:tab w:val="left" w:pos="9724"/>
        </w:tabs>
        <w:ind w:firstLine="709"/>
        <w:jc w:val="both"/>
        <w:rPr>
          <w:lang w:eastAsia="x-none"/>
        </w:rPr>
      </w:pPr>
      <w:r w:rsidRPr="00C71590">
        <w:rPr>
          <w:b/>
          <w:lang w:eastAsia="x-none"/>
        </w:rPr>
        <w:t>Прострочена кредиторська заборгованість</w:t>
      </w:r>
      <w:r w:rsidRPr="00C71590">
        <w:rPr>
          <w:lang w:eastAsia="x-none"/>
        </w:rPr>
        <w:t xml:space="preserve"> склала 1 704,5 тис. грн. 100 % цієї простроченої заборгованості – це заборгованість по видатках, які фінансуються за рахунок субвенцій з державного бюджету, а саме: 1 206,7 тис. грн. – на надання пільг та субсидій на житлово-комунальне господарство; 437,4 тис. грн. –  пільги зв’язку; 0,2 тис. грн. – пільги громадянам, які постраждали внаслідок Чорнобильської катастрофи; 60,2 тис. грн. – інші пільги передбачені законодавством України.</w:t>
      </w:r>
    </w:p>
    <w:p w:rsidR="00C71590" w:rsidRPr="00C71590" w:rsidRDefault="00C71590" w:rsidP="00C71590">
      <w:pPr>
        <w:widowControl w:val="0"/>
        <w:tabs>
          <w:tab w:val="left" w:pos="9724"/>
        </w:tabs>
        <w:ind w:firstLine="709"/>
        <w:jc w:val="both"/>
        <w:rPr>
          <w:lang w:eastAsia="x-none"/>
        </w:rPr>
      </w:pPr>
      <w:r w:rsidRPr="00C71590">
        <w:rPr>
          <w:lang w:eastAsia="x-none"/>
        </w:rPr>
        <w:t>Основною причиною виникнення простроченої заборгованості є недостатність надходжень до міського бюджету субвенцій з державного бюджету до плану на рік.</w:t>
      </w:r>
    </w:p>
    <w:p w:rsidR="00C71590" w:rsidRPr="00C71590" w:rsidRDefault="00C71590" w:rsidP="00C71590">
      <w:pPr>
        <w:widowControl w:val="0"/>
        <w:ind w:firstLine="709"/>
        <w:jc w:val="both"/>
      </w:pPr>
      <w:r w:rsidRPr="00C71590">
        <w:t xml:space="preserve">Прострочена заборгованість по оплаті праці та нарахуваннях на заробітну плату працівникам бюджетних установ міста відсутня. </w:t>
      </w:r>
    </w:p>
    <w:p w:rsidR="00C71590" w:rsidRPr="00C71590" w:rsidRDefault="00C71590" w:rsidP="00C71590">
      <w:pPr>
        <w:widowControl w:val="0"/>
        <w:ind w:firstLine="709"/>
        <w:jc w:val="both"/>
      </w:pPr>
      <w:r w:rsidRPr="00C71590">
        <w:t>Прострочена кредиторська заборгованість по інших захищених статтях відсутня.</w:t>
      </w:r>
    </w:p>
    <w:p w:rsidR="00C71590" w:rsidRPr="00C71590" w:rsidRDefault="00C71590" w:rsidP="00C71590">
      <w:pPr>
        <w:widowControl w:val="0"/>
        <w:ind w:firstLine="709"/>
        <w:jc w:val="both"/>
        <w:rPr>
          <w:bCs/>
          <w:lang w:eastAsia="x-none"/>
        </w:rPr>
      </w:pPr>
      <w:r w:rsidRPr="00C71590">
        <w:t xml:space="preserve">За 2015 рік </w:t>
      </w:r>
      <w:r w:rsidRPr="00C71590">
        <w:rPr>
          <w:b/>
          <w:bCs/>
        </w:rPr>
        <w:t>дебіторська заборгованість по загальному фонду</w:t>
      </w:r>
      <w:r w:rsidRPr="00C71590">
        <w:t xml:space="preserve"> міського бюджету склала 62,6 тис. грн., що на 17,4 тис.грн. (38,5 %) більше заборгованості на початок 2015 </w:t>
      </w:r>
      <w:r w:rsidRPr="00C71590">
        <w:lastRenderedPageBreak/>
        <w:t xml:space="preserve">року (заборгованість рахується по органах місцевого самоврядування у сумі 32,6 тис. грн., по міських Програмах - 28,6 тис. грн., по соціальному захисту населення - 1,4 тис. грн.). </w:t>
      </w:r>
      <w:r w:rsidRPr="00C71590">
        <w:rPr>
          <w:bCs/>
          <w:lang w:eastAsia="x-none"/>
        </w:rPr>
        <w:t xml:space="preserve">Заборгованість по видатках, які фінансуються за рахунок субвенцій з державного бюджету склала 1,4 тис. грн., або 2,2 % від загального обсягу заборгованості </w:t>
      </w:r>
      <w:r w:rsidRPr="00C71590">
        <w:t xml:space="preserve">(заборгованість </w:t>
      </w:r>
      <w:r w:rsidRPr="00C71590">
        <w:rPr>
          <w:bCs/>
          <w:iCs/>
        </w:rPr>
        <w:t>по с</w:t>
      </w:r>
      <w:r w:rsidRPr="00C71590">
        <w:t>убвенції з державного бюджету на інші пільги ветеранам війни, особам, на яких поширюється чинність Закону України «Про статус ветеранів війни, 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ветеранам праці,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та реабілітованим громадянам, які стали інвалідами внаслідок репресій або є пенсіонерами</w:t>
      </w:r>
      <w:r w:rsidRPr="00C71590">
        <w:rPr>
          <w:bCs/>
          <w:iCs/>
        </w:rPr>
        <w:t>)</w:t>
      </w:r>
      <w:r w:rsidRPr="00C71590">
        <w:rPr>
          <w:bCs/>
          <w:lang w:eastAsia="x-none"/>
        </w:rPr>
        <w:t>. За виключенням показників заборгованості по видатках, що фінансуються за рахунок субвенцій з державного бюджету, дебіторська заборгованість за 2015 рік склала 61,2 тис. грн.</w:t>
      </w:r>
    </w:p>
    <w:p w:rsidR="00C71590" w:rsidRPr="00C71590" w:rsidRDefault="00C71590" w:rsidP="00C71590">
      <w:pPr>
        <w:widowControl w:val="0"/>
        <w:ind w:firstLine="709"/>
        <w:jc w:val="both"/>
        <w:rPr>
          <w:bCs/>
          <w:lang w:val="x-none" w:eastAsia="x-none"/>
        </w:rPr>
      </w:pPr>
      <w:r w:rsidRPr="00C71590">
        <w:rPr>
          <w:b/>
          <w:bCs/>
          <w:lang w:val="x-none" w:eastAsia="x-none"/>
        </w:rPr>
        <w:t>Прострочена дебіторська</w:t>
      </w:r>
      <w:r w:rsidRPr="00C71590">
        <w:rPr>
          <w:bCs/>
          <w:lang w:val="x-none" w:eastAsia="x-none"/>
        </w:rPr>
        <w:t xml:space="preserve"> </w:t>
      </w:r>
      <w:r w:rsidRPr="00C71590">
        <w:rPr>
          <w:b/>
          <w:bCs/>
          <w:lang w:val="x-none" w:eastAsia="x-none"/>
        </w:rPr>
        <w:t>заборгованість</w:t>
      </w:r>
      <w:r w:rsidRPr="00C71590">
        <w:rPr>
          <w:bCs/>
          <w:lang w:val="x-none" w:eastAsia="x-none"/>
        </w:rPr>
        <w:t xml:space="preserve"> </w:t>
      </w:r>
      <w:r w:rsidRPr="00C71590">
        <w:rPr>
          <w:b/>
          <w:bCs/>
          <w:lang w:val="x-none" w:eastAsia="x-none"/>
        </w:rPr>
        <w:t>по загальному фонду</w:t>
      </w:r>
      <w:r w:rsidRPr="00C71590">
        <w:rPr>
          <w:bCs/>
          <w:lang w:val="x-none" w:eastAsia="x-none"/>
        </w:rPr>
        <w:t xml:space="preserve"> міського бюджету міського бюджету склала 11,0 тис. грн. (рахується по органах місцевого самоврядування по оплаті праці і нарахуваннях на заробітну плату – 1,0 тис. грн.; по міських Програмах – по оплаті комунальних послуг та енергоносіїв – 5,6 тис. грн., по оплаті послуг (крім комунальних) – 4,4 тис. грн.).</w:t>
      </w:r>
    </w:p>
    <w:p w:rsidR="00C71590" w:rsidRPr="00C71590" w:rsidRDefault="00C71590" w:rsidP="00C71590">
      <w:pPr>
        <w:widowControl w:val="0"/>
        <w:ind w:firstLine="709"/>
        <w:jc w:val="both"/>
      </w:pPr>
      <w:r w:rsidRPr="00C71590">
        <w:t>В основному виникнення заборгованості пояснюється:</w:t>
      </w:r>
    </w:p>
    <w:p w:rsidR="00C71590" w:rsidRPr="00C71590" w:rsidRDefault="00C71590" w:rsidP="00C71590">
      <w:pPr>
        <w:widowControl w:val="0"/>
        <w:ind w:firstLine="709"/>
        <w:jc w:val="both"/>
      </w:pPr>
      <w:r w:rsidRPr="00C71590">
        <w:t>- 50,9 % заборгованості виникло внаслідок несплати орендарями сум комунальних послуг (5,6 тис. грн.);</w:t>
      </w:r>
    </w:p>
    <w:p w:rsidR="00C71590" w:rsidRPr="00C71590" w:rsidRDefault="00C71590" w:rsidP="00C71590">
      <w:pPr>
        <w:widowControl w:val="0"/>
        <w:ind w:firstLine="709"/>
        <w:jc w:val="both"/>
      </w:pPr>
      <w:r w:rsidRPr="00C71590">
        <w:t>- 7,3 % заборгованості виникло внаслідок переплати єдиного соціального внеску (0,8</w:t>
      </w:r>
      <w:r w:rsidRPr="00C71590">
        <w:rPr>
          <w:lang w:val="en-US"/>
        </w:rPr>
        <w:t> </w:t>
      </w:r>
      <w:r w:rsidRPr="00C71590">
        <w:t>тис. грн.);</w:t>
      </w:r>
    </w:p>
    <w:p w:rsidR="00C71590" w:rsidRPr="00C71590" w:rsidRDefault="00C71590" w:rsidP="00C71590">
      <w:pPr>
        <w:widowControl w:val="0"/>
        <w:ind w:firstLine="709"/>
        <w:jc w:val="both"/>
      </w:pPr>
      <w:r w:rsidRPr="00C71590">
        <w:t>- 40,0 % заборгованості виникло внаслідок несплати орендарями сум орендної плати (4,4</w:t>
      </w:r>
      <w:r w:rsidRPr="00C71590">
        <w:rPr>
          <w:lang w:val="en-US"/>
        </w:rPr>
        <w:t> </w:t>
      </w:r>
      <w:r w:rsidRPr="00C71590">
        <w:t>тис. грн.);</w:t>
      </w:r>
    </w:p>
    <w:p w:rsidR="00C71590" w:rsidRPr="00C71590" w:rsidRDefault="00C71590" w:rsidP="00C71590">
      <w:pPr>
        <w:widowControl w:val="0"/>
        <w:ind w:firstLine="709"/>
        <w:jc w:val="both"/>
      </w:pPr>
      <w:r w:rsidRPr="00C71590">
        <w:t>- 1,8 % заборгованості виникло внаслідок неправильного нарахування вихідної допомоги при звільненні (0,2 тис. грн.).</w:t>
      </w:r>
    </w:p>
    <w:p w:rsidR="00C71590" w:rsidRPr="00C71590" w:rsidRDefault="00C71590" w:rsidP="00C71590">
      <w:pPr>
        <w:widowControl w:val="0"/>
        <w:jc w:val="center"/>
        <w:rPr>
          <w:b/>
          <w:bCs/>
          <w:lang w:eastAsia="x-none"/>
        </w:rPr>
      </w:pPr>
      <w:r>
        <w:rPr>
          <w:b/>
          <w:bCs/>
          <w:noProof/>
          <w:lang w:val="ru-RU"/>
        </w:rPr>
        <w:drawing>
          <wp:inline distT="0" distB="0" distL="0" distR="0">
            <wp:extent cx="6017895" cy="3970020"/>
            <wp:effectExtent l="0" t="0" r="20955" b="1143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1590" w:rsidRPr="00C71590" w:rsidRDefault="00C71590" w:rsidP="00C71590">
      <w:pPr>
        <w:widowControl w:val="0"/>
        <w:ind w:firstLine="540"/>
        <w:jc w:val="both"/>
      </w:pPr>
      <w:r w:rsidRPr="00C71590">
        <w:t xml:space="preserve">Дебіторська заборгованість по оплаті праці та нарахуваннях на заробітну плату працівникам бюджетних установ міста склала 32,6 тис. грн. (рахується по органах місцевого самоврядування). </w:t>
      </w:r>
    </w:p>
    <w:p w:rsidR="00C71590" w:rsidRPr="00C71590" w:rsidRDefault="00C71590" w:rsidP="00C71590">
      <w:pPr>
        <w:widowControl w:val="0"/>
        <w:ind w:firstLine="540"/>
        <w:jc w:val="both"/>
      </w:pPr>
      <w:r w:rsidRPr="00C71590">
        <w:rPr>
          <w:b/>
        </w:rPr>
        <w:t xml:space="preserve">Кредиторська заборгованість по спеціальному фонду </w:t>
      </w:r>
      <w:r w:rsidRPr="00C71590">
        <w:t xml:space="preserve">склала 33,0 тис. грн., що на </w:t>
      </w:r>
      <w:r w:rsidRPr="00C71590">
        <w:lastRenderedPageBreak/>
        <w:t xml:space="preserve">14 768,2 тис. грн., або на 99,8 % менше заборгованості на початок 2015 року. Заборгованість по видатках, які фінансуються за рахунок субвенцій з державного бюджету відсутня. Заборгованість рахується по галузі «Будівництво» - 33,0 тис. грн.. </w:t>
      </w:r>
    </w:p>
    <w:p w:rsidR="00C71590" w:rsidRPr="00C71590" w:rsidRDefault="00C71590" w:rsidP="00C71590">
      <w:pPr>
        <w:widowControl w:val="0"/>
        <w:ind w:firstLine="540"/>
        <w:jc w:val="both"/>
        <w:rPr>
          <w:bCs/>
          <w:lang w:val="x-none" w:eastAsia="x-none"/>
        </w:rPr>
      </w:pPr>
      <w:r w:rsidRPr="00C71590">
        <w:rPr>
          <w:b/>
          <w:bCs/>
          <w:lang w:val="x-none" w:eastAsia="x-none"/>
        </w:rPr>
        <w:t>Дебіторська заборгованість по видатках</w:t>
      </w:r>
      <w:r w:rsidRPr="00C71590">
        <w:rPr>
          <w:bCs/>
          <w:lang w:val="x-none" w:eastAsia="x-none"/>
        </w:rPr>
        <w:t xml:space="preserve"> </w:t>
      </w:r>
      <w:r w:rsidRPr="00C71590">
        <w:rPr>
          <w:b/>
          <w:bCs/>
          <w:lang w:val="x-none" w:eastAsia="x-none"/>
        </w:rPr>
        <w:t xml:space="preserve">спеціального фонду </w:t>
      </w:r>
      <w:r w:rsidRPr="00C71590">
        <w:rPr>
          <w:bCs/>
          <w:lang w:val="x-none" w:eastAsia="x-none"/>
        </w:rPr>
        <w:t>міського бюджету міського бюджету склала 5993,5 тис. грн., що на 948,7 тис. грн.(18,8 %) більше заборгованості на початок року.</w:t>
      </w:r>
    </w:p>
    <w:p w:rsidR="00C71590" w:rsidRPr="00C71590" w:rsidRDefault="00C71590" w:rsidP="00C71590">
      <w:pPr>
        <w:widowControl w:val="0"/>
        <w:ind w:firstLine="540"/>
        <w:jc w:val="both"/>
      </w:pPr>
      <w:r w:rsidRPr="00C71590">
        <w:t xml:space="preserve">Заборгованість по видатках, які фінансуються за рахунок субвенцій з державного бюджету відсутня. </w:t>
      </w:r>
    </w:p>
    <w:p w:rsidR="00C71590" w:rsidRPr="00C71590" w:rsidRDefault="00C71590" w:rsidP="00C71590">
      <w:pPr>
        <w:widowControl w:val="0"/>
        <w:ind w:firstLine="540"/>
        <w:jc w:val="both"/>
      </w:pPr>
      <w:r w:rsidRPr="00C71590">
        <w:t xml:space="preserve">Заборгованості рахується по будівництву об’єктів бюджету розвитку (надання авансів на виконання робіт по об’єктах бюджету розвитку), а саме: по галузі «Освіта» – 364,5 тис. грн. (6,1 %), по будівництву – 3910,7 тис. грн. (65,2 %), дорожньому господарству – 1622,5 тис. грн. (27,1 %), по житлово-комунальному господарству – 95,8 тис. грн. (1,6 %). </w:t>
      </w:r>
    </w:p>
    <w:p w:rsidR="00C71590" w:rsidRPr="00C71590" w:rsidRDefault="00C71590" w:rsidP="00C71590">
      <w:pPr>
        <w:widowControl w:val="0"/>
        <w:jc w:val="both"/>
      </w:pPr>
      <w:r>
        <w:rPr>
          <w:noProof/>
          <w:lang w:val="ru-RU"/>
        </w:rPr>
        <w:drawing>
          <wp:inline distT="0" distB="0" distL="0" distR="0">
            <wp:extent cx="6038215" cy="3333750"/>
            <wp:effectExtent l="0" t="0" r="19685" b="1905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1590" w:rsidRPr="00C71590" w:rsidRDefault="00C71590" w:rsidP="00C71590">
      <w:pPr>
        <w:widowControl w:val="0"/>
        <w:ind w:firstLine="540"/>
        <w:jc w:val="both"/>
      </w:pPr>
      <w:r w:rsidRPr="00C71590">
        <w:t xml:space="preserve">За 2015 рік </w:t>
      </w:r>
      <w:r w:rsidRPr="00C71590">
        <w:rPr>
          <w:b/>
        </w:rPr>
        <w:t>прострочена</w:t>
      </w:r>
      <w:r w:rsidRPr="00C71590">
        <w:t xml:space="preserve"> </w:t>
      </w:r>
      <w:r w:rsidRPr="00C71590">
        <w:rPr>
          <w:b/>
        </w:rPr>
        <w:t xml:space="preserve">дебіторська заборгованість по видатках спеціального фонду </w:t>
      </w:r>
      <w:r w:rsidRPr="00C71590">
        <w:t xml:space="preserve">склала </w:t>
      </w:r>
      <w:r w:rsidRPr="00C71590">
        <w:rPr>
          <w:b/>
        </w:rPr>
        <w:t xml:space="preserve">4 414,9 </w:t>
      </w:r>
      <w:r w:rsidRPr="00C71590">
        <w:t xml:space="preserve">тис. грн., зокрема по невідпрацьованих авансах: </w:t>
      </w:r>
    </w:p>
    <w:p w:rsidR="00C71590" w:rsidRPr="00C71590" w:rsidRDefault="00C71590" w:rsidP="00C71590">
      <w:pPr>
        <w:widowControl w:val="0"/>
        <w:ind w:firstLine="540"/>
        <w:jc w:val="both"/>
      </w:pPr>
      <w:r w:rsidRPr="00C71590">
        <w:t>- на реконструкцію вул. Одеської від вул. Котовського до вул. Сумгаїтська – 3 000,0 тис.грн.;</w:t>
      </w:r>
    </w:p>
    <w:p w:rsidR="00C71590" w:rsidRPr="00C71590" w:rsidRDefault="00C71590" w:rsidP="00C71590">
      <w:pPr>
        <w:widowControl w:val="0"/>
        <w:ind w:firstLine="540"/>
        <w:jc w:val="both"/>
      </w:pPr>
      <w:r w:rsidRPr="00C71590">
        <w:t>- на будівництво міського кладовища в районі вул. Промислової та станції Заводської (І черга) - 535,0 тис.грн.;</w:t>
      </w:r>
    </w:p>
    <w:p w:rsidR="00C71590" w:rsidRPr="00C71590" w:rsidRDefault="00C71590" w:rsidP="00C71590">
      <w:pPr>
        <w:widowControl w:val="0"/>
        <w:ind w:firstLine="540"/>
        <w:jc w:val="both"/>
      </w:pPr>
      <w:r w:rsidRPr="00C71590">
        <w:t>- на реконструкцію приміщення спортивного залу Черкаської СШ І-ІІІ ст.№3 – 366,9 тис.грн.;</w:t>
      </w:r>
    </w:p>
    <w:p w:rsidR="00C71590" w:rsidRPr="00C71590" w:rsidRDefault="00C71590" w:rsidP="00C71590">
      <w:pPr>
        <w:widowControl w:val="0"/>
        <w:ind w:firstLine="540"/>
        <w:jc w:val="both"/>
      </w:pPr>
      <w:r w:rsidRPr="00C71590">
        <w:t>- на капітальний ремонт покрівлі СШ №17 у сумі 299,0 тис.грн.;</w:t>
      </w:r>
    </w:p>
    <w:p w:rsidR="00C71590" w:rsidRPr="00C71590" w:rsidRDefault="00C71590" w:rsidP="00C71590">
      <w:pPr>
        <w:widowControl w:val="0"/>
        <w:ind w:firstLine="540"/>
        <w:jc w:val="both"/>
      </w:pPr>
      <w:r w:rsidRPr="00C71590">
        <w:t>- на будівництво та капітальний ремонт пішохідних тротуарів - 74,3</w:t>
      </w:r>
      <w:r w:rsidRPr="00C71590">
        <w:rPr>
          <w:lang w:val="en-US"/>
        </w:rPr>
        <w:t> </w:t>
      </w:r>
      <w:r w:rsidRPr="00C71590">
        <w:t>тис. грн.;</w:t>
      </w:r>
    </w:p>
    <w:p w:rsidR="00C71590" w:rsidRPr="00C71590" w:rsidRDefault="00C71590" w:rsidP="00C71590">
      <w:pPr>
        <w:widowControl w:val="0"/>
        <w:ind w:firstLine="540"/>
        <w:jc w:val="both"/>
      </w:pPr>
      <w:r w:rsidRPr="00C71590">
        <w:t>- на капітальний ремонт приміщень (заміна вікон) на загальну суму 65,5 тис. грн.: ДНЗ №13 - 9,5 тис. грн.; ДНЗ №69 - 56,0 тис. грн.;</w:t>
      </w:r>
    </w:p>
    <w:p w:rsidR="00C71590" w:rsidRPr="00C71590" w:rsidRDefault="00C71590" w:rsidP="00C71590">
      <w:pPr>
        <w:widowControl w:val="0"/>
        <w:ind w:firstLine="540"/>
        <w:jc w:val="both"/>
      </w:pPr>
      <w:r w:rsidRPr="00C71590">
        <w:t>- на капітальний ремонт житлового фонду міської комунальної власності (плановий та позаплановий ремонт ліфтів) – 65,5 тис.грн.</w:t>
      </w:r>
    </w:p>
    <w:p w:rsidR="00C71590" w:rsidRPr="00C71590" w:rsidRDefault="00C71590" w:rsidP="00C71590">
      <w:pPr>
        <w:widowControl w:val="0"/>
        <w:ind w:firstLine="540"/>
        <w:jc w:val="both"/>
      </w:pPr>
      <w:r w:rsidRPr="00C71590">
        <w:t xml:space="preserve">- на реконструкцію східців по </w:t>
      </w:r>
      <w:r w:rsidRPr="00C71590">
        <w:rPr>
          <w:lang w:val="en-US"/>
        </w:rPr>
        <w:t>c</w:t>
      </w:r>
      <w:r w:rsidRPr="00C71590">
        <w:t>пуску між будинками №19-№21 по вул. Героїв Сталінграду – 8,7 тис. грн..</w:t>
      </w:r>
    </w:p>
    <w:p w:rsidR="00C71590" w:rsidRPr="00C71590" w:rsidRDefault="00C71590" w:rsidP="00C71590">
      <w:pPr>
        <w:widowControl w:val="0"/>
        <w:ind w:firstLine="540"/>
        <w:jc w:val="both"/>
        <w:rPr>
          <w:lang w:val="ru-RU"/>
        </w:rPr>
      </w:pPr>
      <w:r w:rsidRPr="00C71590">
        <w:t>Прострочена заборгованість по оплаті праці та нарахуваннях на заробітну плату працівникам бюджетних установ міста відсутня. Прострочена заборгованість по інших захищених статях відсутня.</w:t>
      </w:r>
    </w:p>
    <w:p w:rsidR="00C71590" w:rsidRPr="00C71590" w:rsidRDefault="00C71590" w:rsidP="00C71590">
      <w:pPr>
        <w:widowControl w:val="0"/>
        <w:ind w:firstLine="540"/>
        <w:jc w:val="both"/>
        <w:rPr>
          <w:lang w:val="ru-RU"/>
        </w:rPr>
      </w:pPr>
    </w:p>
    <w:p w:rsidR="00C71590" w:rsidRPr="00C71590" w:rsidRDefault="00C71590" w:rsidP="00C71590">
      <w:pPr>
        <w:keepNext/>
        <w:jc w:val="center"/>
        <w:outlineLvl w:val="2"/>
        <w:rPr>
          <w:b/>
          <w:bCs/>
          <w:i/>
          <w:u w:val="single"/>
        </w:rPr>
      </w:pPr>
      <w:r w:rsidRPr="00C71590">
        <w:rPr>
          <w:b/>
          <w:bCs/>
          <w:i/>
          <w:u w:val="single"/>
        </w:rPr>
        <w:t>КТКВК 010000 Державне управління</w:t>
      </w:r>
    </w:p>
    <w:p w:rsidR="00C71590" w:rsidRPr="00C71590" w:rsidRDefault="00C71590" w:rsidP="00C71590">
      <w:pPr>
        <w:tabs>
          <w:tab w:val="left" w:pos="550"/>
        </w:tabs>
        <w:spacing w:before="60"/>
        <w:ind w:firstLine="540"/>
        <w:jc w:val="both"/>
      </w:pPr>
      <w:r w:rsidRPr="00C71590">
        <w:t xml:space="preserve">Згідно уточненого плану на 2015 рік по загальному фонду міського бюджету на утримання органів місцевого самоврядування спрямовано 50180,9 тис. грн. Видатки за 2015 </w:t>
      </w:r>
      <w:r w:rsidRPr="00C71590">
        <w:lastRenderedPageBreak/>
        <w:t xml:space="preserve">рік склали 49530,5 тис. грн., або 98,7 відс. до уточненого плану на рік. У порівнянні з видатками минулого року видатки у 2015 році збільшились на 6242,1 тис. грн., або на 14,4 відс. </w:t>
      </w:r>
    </w:p>
    <w:p w:rsidR="00C71590" w:rsidRPr="00C71590" w:rsidRDefault="00C71590" w:rsidP="00C71590">
      <w:pPr>
        <w:ind w:firstLine="540"/>
        <w:jc w:val="both"/>
      </w:pPr>
      <w:r w:rsidRPr="00C71590">
        <w:t>На заробітну плату з нарахуваннями спрямовано 41391,5 тис. грн., або 99,9 відс. до плану на 2015 рік, що більше у порівнянні з відповідними видатками минулого року на 4402,4 тис. грн., або на 11,9 відс. Збільшення видатків на заробітну плату у 2015 році в порівнянні з 2014 роком пояснюється збільшенням індексації заробітної плати, внаслідок росту  індексу споживчих цін  та підвищення мінімальної заробітної плати з вересня 2015 року працівникам бюджетної сфери.</w:t>
      </w:r>
    </w:p>
    <w:p w:rsidR="00C71590" w:rsidRPr="00C71590" w:rsidRDefault="00C71590" w:rsidP="00C71590">
      <w:pPr>
        <w:ind w:firstLine="540"/>
        <w:jc w:val="both"/>
        <w:rPr>
          <w:color w:val="FF0000"/>
        </w:rPr>
      </w:pPr>
      <w:r w:rsidRPr="00C71590">
        <w:t xml:space="preserve">На оплату комунальних  послуг та енергоносіїв спрямовано 1928,1 тис. грн., або 87,6 відс. до уточненого плану на рік, що менше у порівнянні з видатками минулого року на 41,9 тис. грн., або на 2,2 відс. це пов`язано із тим, що зменшилися вільні площі в будівлі  по   вул. Благовісна,170, за які сплачував департамент організаційного забезпечення у 2014 році. </w:t>
      </w:r>
      <w:r w:rsidRPr="00C71590">
        <w:rPr>
          <w:color w:val="FF0000"/>
        </w:rPr>
        <w:t xml:space="preserve">   </w:t>
      </w:r>
    </w:p>
    <w:p w:rsidR="00C71590" w:rsidRPr="00C71590" w:rsidRDefault="00C71590" w:rsidP="00C71590">
      <w:pPr>
        <w:ind w:firstLine="540"/>
        <w:jc w:val="both"/>
      </w:pPr>
      <w:r w:rsidRPr="00C71590">
        <w:t>На інші поточні видатки спрямовано 6210,9 тис. грн., або 95,0 відс. до уточненого плану на рік, що більше у порівнянні з видатками минулого року на 1797,9 тис. грн., або на 40,7 відс.</w:t>
      </w:r>
    </w:p>
    <w:p w:rsidR="00C71590" w:rsidRPr="00C71590" w:rsidRDefault="00C71590" w:rsidP="00C71590">
      <w:pPr>
        <w:ind w:firstLine="540"/>
        <w:jc w:val="both"/>
      </w:pPr>
      <w:r w:rsidRPr="00C71590">
        <w:t>Станом на 01.01.2016 року по апарату управління органів місцевого самоврядування фактично зайнята чисельність працівників складає 466,5 од. Штатна чисельність на звітну дату складає 507,5 од. відповідно до рішення Черкаської міської ради від 23.05.2013 року № 3-1682 «Про структуру, загальну чисельність апарату Черкаської міської ради та її виконавчих органів» (із змінами та доповненнями).</w:t>
      </w:r>
    </w:p>
    <w:p w:rsidR="00C71590" w:rsidRPr="00C71590" w:rsidRDefault="00C71590" w:rsidP="00C71590">
      <w:pPr>
        <w:ind w:firstLine="540"/>
        <w:jc w:val="both"/>
        <w:rPr>
          <w:lang w:eastAsia="x-none"/>
        </w:rPr>
      </w:pPr>
      <w:r w:rsidRPr="00C71590">
        <w:rPr>
          <w:lang w:eastAsia="x-none"/>
        </w:rPr>
        <w:t>За 201</w:t>
      </w:r>
      <w:r w:rsidRPr="00C71590">
        <w:rPr>
          <w:lang w:val="ru-RU" w:eastAsia="x-none"/>
        </w:rPr>
        <w:t>5</w:t>
      </w:r>
      <w:r w:rsidRPr="00C71590">
        <w:rPr>
          <w:lang w:eastAsia="x-none"/>
        </w:rPr>
        <w:t xml:space="preserve"> рік по спеціальному фонду використано </w:t>
      </w:r>
      <w:r w:rsidRPr="00C71590">
        <w:rPr>
          <w:lang w:val="ru-RU" w:eastAsia="x-none"/>
        </w:rPr>
        <w:t>7153</w:t>
      </w:r>
      <w:r w:rsidRPr="00C71590">
        <w:rPr>
          <w:lang w:eastAsia="x-none"/>
        </w:rPr>
        <w:t>,5 тис. грн., або 93,8 відс. до уточненого плану на 2015 рік, у т.ч.:</w:t>
      </w:r>
    </w:p>
    <w:p w:rsidR="00C71590" w:rsidRPr="00C71590" w:rsidRDefault="00C71590" w:rsidP="00C71590">
      <w:pPr>
        <w:ind w:firstLine="540"/>
        <w:jc w:val="both"/>
        <w:rPr>
          <w:lang w:eastAsia="x-none"/>
        </w:rPr>
      </w:pPr>
      <w:r w:rsidRPr="00C71590">
        <w:rPr>
          <w:lang w:eastAsia="x-none"/>
        </w:rPr>
        <w:t>1) за рахунок власних надходжень бюджетних установ проведено видатків 3199,1 тис. грн., або 97,3 відс. до уточненого плану на рік, а саме:</w:t>
      </w:r>
    </w:p>
    <w:p w:rsidR="00C71590" w:rsidRPr="00C71590" w:rsidRDefault="00C71590" w:rsidP="00C71590">
      <w:pPr>
        <w:ind w:firstLine="540"/>
        <w:jc w:val="both"/>
      </w:pPr>
      <w:r w:rsidRPr="00C71590">
        <w:rPr>
          <w:lang w:val="ru-RU"/>
        </w:rPr>
        <w:t xml:space="preserve">- </w:t>
      </w:r>
      <w:r w:rsidRPr="00C71590">
        <w:t>на оплату праці з нарахуваннями –194,2 тис. грн., або 95,0 відс. до плану на рік;</w:t>
      </w:r>
    </w:p>
    <w:p w:rsidR="00C71590" w:rsidRPr="00C71590" w:rsidRDefault="00C71590" w:rsidP="00C71590">
      <w:pPr>
        <w:ind w:firstLine="540"/>
        <w:jc w:val="both"/>
      </w:pPr>
      <w:r w:rsidRPr="00C71590">
        <w:rPr>
          <w:lang w:val="ru-RU"/>
        </w:rPr>
        <w:t xml:space="preserve">- </w:t>
      </w:r>
      <w:r w:rsidRPr="00C71590">
        <w:t>на оплату комунальних послуг та енергоносіїв – 2116,7 тис. грн., або 100,0 відс. до річного плану;</w:t>
      </w:r>
    </w:p>
    <w:p w:rsidR="00C71590" w:rsidRPr="00C71590" w:rsidRDefault="00C71590" w:rsidP="00C71590">
      <w:pPr>
        <w:ind w:firstLine="540"/>
        <w:jc w:val="both"/>
      </w:pPr>
      <w:r w:rsidRPr="00C71590">
        <w:rPr>
          <w:lang w:val="ru-RU"/>
        </w:rPr>
        <w:t xml:space="preserve">- </w:t>
      </w:r>
      <w:r w:rsidRPr="00C71590">
        <w:t>на інші поточні видатки – 802,0 тис. грн., або 94,6 відс. до плану на рік;</w:t>
      </w:r>
    </w:p>
    <w:p w:rsidR="00C71590" w:rsidRPr="00C71590" w:rsidRDefault="00C71590" w:rsidP="00C71590">
      <w:pPr>
        <w:ind w:firstLine="540"/>
        <w:jc w:val="both"/>
      </w:pPr>
      <w:r w:rsidRPr="00C71590">
        <w:t>- на капітальні видатки – 86,2 тис. грн., або 73,9 відс. до плану на рік.</w:t>
      </w:r>
    </w:p>
    <w:p w:rsidR="00C71590" w:rsidRPr="00C71590" w:rsidRDefault="00C71590" w:rsidP="00C71590">
      <w:pPr>
        <w:ind w:firstLine="540"/>
        <w:jc w:val="both"/>
      </w:pPr>
      <w:r w:rsidRPr="00C71590">
        <w:t xml:space="preserve">2) за рахунок спеціального фонду бюджету розвитку на капітальні видатки заплановано у 2015 році 4336,7 тис. грн. Видатки склали 4954,4 тис. грн., або 91,2 відс. до плану на 2015 рік.  </w:t>
      </w:r>
    </w:p>
    <w:p w:rsidR="00C71590" w:rsidRPr="00C71590" w:rsidRDefault="00C71590" w:rsidP="00C71590">
      <w:pPr>
        <w:ind w:firstLine="540"/>
        <w:jc w:val="both"/>
        <w:rPr>
          <w:highlight w:val="yellow"/>
        </w:rPr>
      </w:pPr>
      <w:r w:rsidRPr="00C71590">
        <w:t xml:space="preserve">Станом на 01.01.2016 року по загальному фонду відсутня кредиторська заборгованість (в порівнянні з початком року вона зменшилась на 571,1 тис. грн.). </w:t>
      </w:r>
    </w:p>
    <w:p w:rsidR="00C71590" w:rsidRPr="00C71590" w:rsidRDefault="00C71590" w:rsidP="00C71590">
      <w:pPr>
        <w:ind w:firstLine="540"/>
        <w:jc w:val="both"/>
      </w:pPr>
      <w:r w:rsidRPr="00C71590">
        <w:t>Станом на 01.01.2016 року по загальному фонду рахується дебіторська заборгованість на суму 32,6 тис. грн. (в порівнянні з початком року вона збільшилась на 8,2 тис. грн.). В загальній сумі заборгованості</w:t>
      </w:r>
      <w:r w:rsidRPr="00C71590">
        <w:rPr>
          <w:lang w:val="ru-RU"/>
        </w:rPr>
        <w:t xml:space="preserve"> 32,6 тис. грн.</w:t>
      </w:r>
      <w:r w:rsidRPr="00C71590">
        <w:t xml:space="preserve"> враховано:</w:t>
      </w:r>
    </w:p>
    <w:p w:rsidR="00C71590" w:rsidRPr="00C71590" w:rsidRDefault="00C71590" w:rsidP="00C71590">
      <w:pPr>
        <w:ind w:firstLine="540"/>
        <w:jc w:val="both"/>
        <w:rPr>
          <w:highlight w:val="yellow"/>
        </w:rPr>
      </w:pPr>
      <w:r w:rsidRPr="00C71590">
        <w:t xml:space="preserve">- 31,6 тис. грн. - це  поточна  заборгованість по оплаті праці працівників по департаменту управління справами та юридичного забезпечення, яка виникла  внаслідок подання звіту  "Про фактичні витрати на виплату компенсації середнього заробітку працівникам, призваним на строкову військову службу за призовом під час мобілізації"  до департаменту соціальної політики та неотриманням компенсації на звітну дату.    </w:t>
      </w:r>
      <w:r w:rsidRPr="00C71590">
        <w:rPr>
          <w:highlight w:val="yellow"/>
        </w:rPr>
        <w:t xml:space="preserve">                                                                                   </w:t>
      </w:r>
    </w:p>
    <w:p w:rsidR="00C71590" w:rsidRPr="00C71590" w:rsidRDefault="00C71590" w:rsidP="00C71590">
      <w:pPr>
        <w:ind w:firstLine="540"/>
        <w:jc w:val="both"/>
      </w:pPr>
      <w:r w:rsidRPr="00C71590">
        <w:t>-1,0 тис. грн. - це  прострочена заборгованість по оплаті праці працівників (невірно нарахована сума вихідної допомоги в сумі 0,2 тис. грн.. та єдиного соціального внеску в сумі 0,8 тис. грн. по департаменту архітектури, містобудування та інспектування</w:t>
      </w:r>
      <w:r w:rsidRPr="00C71590">
        <w:rPr>
          <w:lang w:val="ru-RU"/>
        </w:rPr>
        <w:t>)</w:t>
      </w:r>
      <w:r w:rsidRPr="00C71590">
        <w:t>.</w:t>
      </w:r>
    </w:p>
    <w:p w:rsidR="00C71590" w:rsidRPr="00C71590" w:rsidRDefault="00C71590" w:rsidP="00C71590">
      <w:pPr>
        <w:widowControl w:val="0"/>
        <w:ind w:firstLine="540"/>
        <w:jc w:val="both"/>
      </w:pPr>
      <w:r w:rsidRPr="00C71590">
        <w:t xml:space="preserve">Станом на 01.01.2016 року по спеціальному фонду кредиторська заборгованість відсутня (в порівнянні з початком року вона зменшилась  на 100,7 тис. грн.). </w:t>
      </w:r>
    </w:p>
    <w:p w:rsidR="00C71590" w:rsidRPr="00C71590" w:rsidRDefault="00C71590" w:rsidP="00C71590">
      <w:pPr>
        <w:ind w:firstLine="540"/>
        <w:jc w:val="both"/>
        <w:rPr>
          <w:lang w:val="ru-RU"/>
        </w:rPr>
      </w:pPr>
      <w:r w:rsidRPr="00C71590">
        <w:t>Дебіторська заборгованість по спеціальному фонду станом на 01.01.2016 року відсутня.</w:t>
      </w:r>
    </w:p>
    <w:p w:rsidR="00C71590" w:rsidRPr="00C71590" w:rsidRDefault="00C71590" w:rsidP="00C71590">
      <w:pPr>
        <w:widowControl w:val="0"/>
        <w:jc w:val="center"/>
        <w:rPr>
          <w:b/>
          <w:bCs/>
          <w:i/>
          <w:iCs/>
          <w:u w:val="single"/>
          <w:lang w:eastAsia="x-none"/>
        </w:rPr>
      </w:pPr>
    </w:p>
    <w:p w:rsidR="00C71590" w:rsidRPr="00C71590" w:rsidRDefault="00C71590" w:rsidP="00C71590">
      <w:pPr>
        <w:widowControl w:val="0"/>
        <w:jc w:val="center"/>
        <w:rPr>
          <w:b/>
          <w:bCs/>
          <w:i/>
          <w:iCs/>
          <w:u w:val="single"/>
          <w:lang w:eastAsia="x-none"/>
        </w:rPr>
      </w:pPr>
      <w:r w:rsidRPr="00C71590">
        <w:rPr>
          <w:b/>
          <w:bCs/>
          <w:i/>
          <w:iCs/>
          <w:u w:val="single"/>
          <w:lang w:eastAsia="x-none"/>
        </w:rPr>
        <w:t>КТКВК</w:t>
      </w:r>
      <w:r w:rsidRPr="00C71590">
        <w:rPr>
          <w:b/>
          <w:bCs/>
          <w:i/>
          <w:u w:val="single"/>
          <w:lang w:eastAsia="x-none"/>
        </w:rPr>
        <w:t xml:space="preserve"> 061007  </w:t>
      </w:r>
      <w:r w:rsidRPr="00C71590">
        <w:rPr>
          <w:b/>
          <w:bCs/>
          <w:i/>
          <w:iCs/>
          <w:u w:val="single"/>
          <w:lang w:eastAsia="x-none"/>
        </w:rPr>
        <w:t xml:space="preserve">Інші правоохоронні заходи та заклади </w:t>
      </w:r>
    </w:p>
    <w:p w:rsidR="00C71590" w:rsidRPr="00C71590" w:rsidRDefault="00C71590" w:rsidP="00C71590">
      <w:pPr>
        <w:widowControl w:val="0"/>
        <w:tabs>
          <w:tab w:val="left" w:pos="720"/>
        </w:tabs>
        <w:spacing w:before="120"/>
        <w:ind w:firstLine="540"/>
        <w:jc w:val="both"/>
        <w:rPr>
          <w:lang w:eastAsia="x-none"/>
        </w:rPr>
      </w:pPr>
      <w:r w:rsidRPr="00C71590">
        <w:rPr>
          <w:lang w:eastAsia="x-none"/>
        </w:rPr>
        <w:t xml:space="preserve">По </w:t>
      </w:r>
      <w:r w:rsidRPr="00C71590">
        <w:rPr>
          <w:b/>
          <w:bCs/>
          <w:lang w:eastAsia="x-none"/>
        </w:rPr>
        <w:t>Програмі забезпечення правопорядку в м. Черкаси</w:t>
      </w:r>
      <w:r w:rsidRPr="00C71590">
        <w:rPr>
          <w:lang w:eastAsia="x-none"/>
        </w:rPr>
        <w:t xml:space="preserve">, затвердженої рішенням Черкаської міської ради від 29.12.2011 № 3-521 (зі змінами, головний розпорядник коштів – департамент організаційного забезпечення ЧМР), уточнені річні призначення загального </w:t>
      </w:r>
      <w:r w:rsidRPr="00C71590">
        <w:rPr>
          <w:lang w:eastAsia="x-none"/>
        </w:rPr>
        <w:lastRenderedPageBreak/>
        <w:t>фонду становлять 67,4 тис.грн. Касові видатки склали 65,7 тис.грн., або 97,5 відс. до уточненого плану. Кошти були спрямовані на заробітну плату та нарахування головам міських громадських формувань «Придніпровське» та «Соснівське».</w:t>
      </w:r>
    </w:p>
    <w:p w:rsidR="00C71590" w:rsidRPr="00C71590" w:rsidRDefault="00C71590" w:rsidP="00C71590">
      <w:pPr>
        <w:ind w:firstLine="540"/>
      </w:pPr>
      <w:r w:rsidRPr="00C71590">
        <w:t>Кредиторська та дебіторська заборгованість станом на 01.01.201</w:t>
      </w:r>
      <w:r w:rsidRPr="00C71590">
        <w:rPr>
          <w:lang w:val="ru-RU"/>
        </w:rPr>
        <w:t>6</w:t>
      </w:r>
      <w:r w:rsidRPr="00C71590">
        <w:t xml:space="preserve"> року відсутня. </w:t>
      </w:r>
    </w:p>
    <w:p w:rsidR="00C71590" w:rsidRPr="00C71590" w:rsidRDefault="00C71590" w:rsidP="00C71590">
      <w:pPr>
        <w:ind w:firstLine="540"/>
        <w:jc w:val="both"/>
        <w:rPr>
          <w:highlight w:val="yellow"/>
        </w:rPr>
      </w:pPr>
    </w:p>
    <w:p w:rsidR="00C71590" w:rsidRPr="00C71590" w:rsidRDefault="00C71590" w:rsidP="00C71590">
      <w:pPr>
        <w:ind w:firstLine="540"/>
        <w:jc w:val="center"/>
        <w:rPr>
          <w:b/>
          <w:i/>
          <w:u w:val="single"/>
        </w:rPr>
      </w:pPr>
      <w:r w:rsidRPr="00C71590">
        <w:rPr>
          <w:b/>
          <w:i/>
          <w:u w:val="single"/>
        </w:rPr>
        <w:t>КТКВК 070000 «Освіта»</w:t>
      </w:r>
      <w:r w:rsidRPr="00C71590">
        <w:rPr>
          <w:b/>
        </w:rPr>
        <w:t xml:space="preserve">  </w:t>
      </w:r>
    </w:p>
    <w:p w:rsidR="00C71590" w:rsidRPr="00C71590" w:rsidRDefault="00C71590" w:rsidP="00C71590">
      <w:pPr>
        <w:tabs>
          <w:tab w:val="left" w:pos="5580"/>
          <w:tab w:val="left" w:pos="5940"/>
        </w:tabs>
        <w:spacing w:before="60"/>
        <w:ind w:firstLine="539"/>
        <w:jc w:val="both"/>
      </w:pPr>
      <w:r w:rsidRPr="00C71590">
        <w:t xml:space="preserve">На утримання установ освіти за 2015 рік профінансовано 437884,4 тис.грн., у тому числі: за загальним фондом – 362207,6 тис.грн., що склало 98,1 відс. річних бюджетних призначень з урахуванням змін, з них: субвенції з обласного бюджету - 475,1 тис.грн., або 85,8 відс., субвенції з державного бюджету – 2295,1 тис.грн., або 92,0 відс., освітня субвенція  з державного бюджету – 180020,7 тис.грн., або 98,1 відс. та за спеціальним фондом – 75676,8 тис.грн., або 88,6 відс. За загальним фондом фінансування галузі протягом звітного періоду 2015 року збільшено у порівнянні з відповідним періодом минулого року на 72776,9 тис.грн., або 25,4 відс.                               </w:t>
      </w:r>
    </w:p>
    <w:p w:rsidR="00C71590" w:rsidRPr="00C71590" w:rsidRDefault="00C71590" w:rsidP="00C71590">
      <w:pPr>
        <w:ind w:firstLine="539"/>
        <w:jc w:val="both"/>
      </w:pPr>
      <w:r w:rsidRPr="00C71590">
        <w:t>За рахунок коштів галузі утримувались 53 дошкільні навчальні заклади, 35 загальноосвітніх шкіл, вечірня школа, міжшкільний навчально-виробничий комбінат, 5 позашкільних навчальних закладів, господарчий відділ, інші – методичний кабінет, централізована бухгалтерія та група планування, економічного аналізу та звітності.</w:t>
      </w:r>
    </w:p>
    <w:p w:rsidR="00C71590" w:rsidRPr="00C71590" w:rsidRDefault="00C71590" w:rsidP="00C71590">
      <w:pPr>
        <w:ind w:firstLine="539"/>
        <w:jc w:val="both"/>
      </w:pPr>
      <w:r w:rsidRPr="00C71590">
        <w:t>Протягом звітного періоду із загального фонду міського бюджету на утримання дошкільних закладів спрямовано 142124,5 тис.грн., або 39,5 відс. загального обсягу видатків на освіту (без обласних та державних субвенцій), загальноосвітні навчальні заклади – 195723,5 тис.грн. (54,5 відс.), вечірню школу – 1578,0 тис.грн. (0,4 відс.), позашкільні заклади освіти – 11823,2 тис.грн. (3,3 відс.) та інші заклади освіти – 8188,2 тис.грн. (2,3 відс.).</w:t>
      </w:r>
    </w:p>
    <w:p w:rsidR="00C71590" w:rsidRPr="00C71590" w:rsidRDefault="00C71590" w:rsidP="00C71590">
      <w:pPr>
        <w:ind w:firstLine="540"/>
        <w:jc w:val="both"/>
      </w:pPr>
      <w:r w:rsidRPr="00C71590">
        <w:t xml:space="preserve">                                                                                                                                      </w:t>
      </w:r>
    </w:p>
    <w:p w:rsidR="00C71590" w:rsidRPr="00C71590" w:rsidRDefault="00C71590" w:rsidP="00C71590">
      <w:pPr>
        <w:ind w:firstLine="540"/>
        <w:jc w:val="center"/>
        <w:rPr>
          <w:b/>
          <w:sz w:val="26"/>
          <w:szCs w:val="26"/>
        </w:rPr>
      </w:pPr>
      <w:r w:rsidRPr="00C71590">
        <w:rPr>
          <w:b/>
          <w:sz w:val="26"/>
          <w:szCs w:val="26"/>
        </w:rPr>
        <w:t xml:space="preserve">Обсяги видатків за галуззю «Освіта» </w:t>
      </w:r>
    </w:p>
    <w:p w:rsidR="00C71590" w:rsidRPr="00C71590" w:rsidRDefault="00C71590" w:rsidP="00C71590">
      <w:pPr>
        <w:ind w:firstLine="540"/>
        <w:jc w:val="center"/>
        <w:rPr>
          <w:b/>
          <w:sz w:val="26"/>
          <w:szCs w:val="26"/>
        </w:rPr>
      </w:pPr>
      <w:r w:rsidRPr="00C71590">
        <w:rPr>
          <w:b/>
          <w:sz w:val="26"/>
          <w:szCs w:val="26"/>
        </w:rPr>
        <w:t xml:space="preserve">(трансферти з державного бюджету без освітньої субвенції),  тис.грн. </w:t>
      </w:r>
    </w:p>
    <w:p w:rsidR="00C71590" w:rsidRPr="00C71590" w:rsidRDefault="00C71590" w:rsidP="00C71590">
      <w:pPr>
        <w:ind w:left="-284"/>
        <w:jc w:val="center"/>
        <w:rPr>
          <w:b/>
          <w:sz w:val="28"/>
          <w:szCs w:val="28"/>
        </w:rPr>
      </w:pPr>
      <w:r>
        <w:rPr>
          <w:b/>
          <w:noProof/>
          <w:sz w:val="28"/>
          <w:szCs w:val="28"/>
          <w:lang w:val="ru-RU"/>
        </w:rPr>
        <w:drawing>
          <wp:inline distT="0" distB="0" distL="0" distR="0">
            <wp:extent cx="6621780" cy="3459480"/>
            <wp:effectExtent l="0" t="0" r="762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1780" cy="3459480"/>
                    </a:xfrm>
                    <a:prstGeom prst="rect">
                      <a:avLst/>
                    </a:prstGeom>
                    <a:noFill/>
                    <a:ln>
                      <a:noFill/>
                    </a:ln>
                  </pic:spPr>
                </pic:pic>
              </a:graphicData>
            </a:graphic>
          </wp:inline>
        </w:drawing>
      </w:r>
    </w:p>
    <w:p w:rsidR="00C71590" w:rsidRPr="00C71590" w:rsidRDefault="00C71590" w:rsidP="00C71590">
      <w:pPr>
        <w:ind w:firstLine="540"/>
        <w:jc w:val="both"/>
      </w:pPr>
      <w:r w:rsidRPr="00C71590">
        <w:t xml:space="preserve">На оплату праці із нарахуваннями на заробітну плату спрямовано 275450,6 тис.грн., що складає 99,7 відс. до уточненого річного плану, з них за рахунок освітньої субвенції з державного бюджету спрямовано 146182,0 тис.грн., що складає 100,0 відс. до уточненого річного плану.  Забезпечено виконання норм статті 57 Закону України «Про освіту» в частині виплати  матеріальної допомоги на оздоровлення у сумі 7357,5 тис.грн. та щорічної грошової винагороди педагогічним працівникам у сумі 3388,2 тис.грн. за сумлінну працю і зразкове виконання службових обов’язків за результатами звітного року в середньому розмірі 47,0 відсотків посадового окладу з підвищенням. У порівнянні з минулим роком  видатки на </w:t>
      </w:r>
      <w:r w:rsidRPr="00C71590">
        <w:lastRenderedPageBreak/>
        <w:t xml:space="preserve">заробітну плату з нарахуваннями збільшились на 41383,2 тис.грн., або на 17,7 відс. Значне збільшення пов’язано із стрімким ростом індексації заробітної плати працівникам бюджетної сфери, збільшенням із 1 вересня 2015 року рівня мінімальної заробітної плати та із 1 грудня 2015 року </w:t>
      </w:r>
      <w:r w:rsidRPr="00C71590">
        <w:rPr>
          <w:color w:val="262626"/>
          <w:shd w:val="clear" w:color="auto" w:fill="FFFFFF"/>
        </w:rPr>
        <w:t>збільшення розміру посадового окладу працівника 1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w:t>
      </w:r>
      <w:r w:rsidRPr="00C71590">
        <w:t xml:space="preserve">. Питома вага видатків на оплату праці із нарахуваннями на заробітну плату в загальному обсязі видатків  складає 76,0 відс. </w:t>
      </w:r>
    </w:p>
    <w:p w:rsidR="00C71590" w:rsidRPr="00C71590" w:rsidRDefault="00C71590" w:rsidP="00C71590">
      <w:pPr>
        <w:ind w:firstLine="540"/>
        <w:jc w:val="both"/>
        <w:rPr>
          <w:lang w:val="ru-RU"/>
        </w:rPr>
      </w:pPr>
    </w:p>
    <w:p w:rsidR="00C71590" w:rsidRPr="00C71590" w:rsidRDefault="00C71590" w:rsidP="00C71590">
      <w:pPr>
        <w:ind w:firstLine="540"/>
        <w:jc w:val="both"/>
        <w:rPr>
          <w:lang w:val="ru-RU"/>
        </w:rPr>
      </w:pPr>
    </w:p>
    <w:p w:rsidR="00C71590" w:rsidRPr="00C71590" w:rsidRDefault="00C71590" w:rsidP="00C71590">
      <w:pPr>
        <w:ind w:firstLine="540"/>
        <w:jc w:val="both"/>
      </w:pPr>
    </w:p>
    <w:p w:rsidR="00C71590" w:rsidRPr="00C71590" w:rsidRDefault="00C71590" w:rsidP="00C71590">
      <w:pPr>
        <w:ind w:firstLine="540"/>
        <w:jc w:val="center"/>
        <w:rPr>
          <w:b/>
          <w:sz w:val="28"/>
          <w:szCs w:val="28"/>
        </w:rPr>
      </w:pPr>
    </w:p>
    <w:p w:rsidR="00C71590" w:rsidRPr="00C71590" w:rsidRDefault="00C71590" w:rsidP="00C71590">
      <w:pPr>
        <w:ind w:firstLine="540"/>
        <w:jc w:val="center"/>
        <w:rPr>
          <w:b/>
          <w:sz w:val="28"/>
          <w:szCs w:val="28"/>
        </w:rPr>
      </w:pPr>
      <w:r w:rsidRPr="00C71590">
        <w:rPr>
          <w:b/>
          <w:sz w:val="28"/>
          <w:szCs w:val="28"/>
        </w:rPr>
        <w:t>Структура</w:t>
      </w:r>
      <w:r w:rsidRPr="00C71590">
        <w:t xml:space="preserve"> </w:t>
      </w:r>
      <w:r w:rsidRPr="00C71590">
        <w:rPr>
          <w:b/>
          <w:sz w:val="28"/>
          <w:szCs w:val="28"/>
        </w:rPr>
        <w:t>видатків за галуззю «Освіта» (без урахування</w:t>
      </w:r>
    </w:p>
    <w:p w:rsidR="00C71590" w:rsidRPr="00C71590" w:rsidRDefault="00C71590" w:rsidP="00C71590">
      <w:pPr>
        <w:ind w:firstLine="540"/>
        <w:jc w:val="center"/>
        <w:rPr>
          <w:b/>
          <w:sz w:val="28"/>
          <w:szCs w:val="28"/>
        </w:rPr>
      </w:pPr>
      <w:r w:rsidRPr="00C71590">
        <w:rPr>
          <w:b/>
          <w:sz w:val="28"/>
          <w:szCs w:val="28"/>
        </w:rPr>
        <w:t xml:space="preserve">субвенцій з державного та обласного бюджетів за КЕКВ </w:t>
      </w:r>
    </w:p>
    <w:p w:rsidR="00C71590" w:rsidRPr="00C71590" w:rsidRDefault="00C71590" w:rsidP="00C71590">
      <w:pPr>
        <w:ind w:firstLine="540"/>
        <w:jc w:val="center"/>
        <w:rPr>
          <w:b/>
          <w:sz w:val="28"/>
          <w:szCs w:val="28"/>
        </w:rPr>
      </w:pPr>
      <w:r w:rsidRPr="00C71590">
        <w:rPr>
          <w:b/>
          <w:sz w:val="28"/>
          <w:szCs w:val="28"/>
        </w:rPr>
        <w:t xml:space="preserve">за 2014 – 2015 роки, тис.грн. </w:t>
      </w:r>
    </w:p>
    <w:p w:rsidR="00C71590" w:rsidRPr="00C71590" w:rsidRDefault="00C71590" w:rsidP="00C71590">
      <w:pPr>
        <w:ind w:firstLine="540"/>
        <w:jc w:val="both"/>
      </w:pPr>
      <w:r>
        <w:rPr>
          <w:noProof/>
          <w:lang w:val="ru-RU"/>
        </w:rPr>
        <w:drawing>
          <wp:inline distT="0" distB="0" distL="0" distR="0">
            <wp:extent cx="6111240" cy="3627120"/>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1240" cy="3627120"/>
                    </a:xfrm>
                    <a:prstGeom prst="rect">
                      <a:avLst/>
                    </a:prstGeom>
                    <a:noFill/>
                    <a:ln>
                      <a:noFill/>
                    </a:ln>
                  </pic:spPr>
                </pic:pic>
              </a:graphicData>
            </a:graphic>
          </wp:inline>
        </w:drawing>
      </w:r>
    </w:p>
    <w:p w:rsidR="00C71590" w:rsidRPr="00C71590" w:rsidRDefault="00C71590" w:rsidP="00C71590">
      <w:pPr>
        <w:tabs>
          <w:tab w:val="left" w:pos="4536"/>
          <w:tab w:val="left" w:pos="5670"/>
          <w:tab w:val="left" w:pos="5812"/>
        </w:tabs>
        <w:ind w:firstLine="540"/>
        <w:jc w:val="both"/>
      </w:pPr>
      <w:r w:rsidRPr="00C71590">
        <w:t xml:space="preserve"> Штатна чисельність працівників галузі станом на 01.01.2016 року  складає 6033,93 од., фактично зайнята чисельність – 5996,35 од., в тому числі педагогічного персоналу – 3487,93 од. Середньомісячна фактично зайнята чисельність по загальному фонду за рік становить 5947,33 шт.од.</w:t>
      </w:r>
      <w:r w:rsidRPr="00C71590">
        <w:rPr>
          <w:lang w:val="ru-RU"/>
        </w:rPr>
        <w:t xml:space="preserve"> </w:t>
      </w:r>
      <w:r w:rsidRPr="00C71590">
        <w:t xml:space="preserve">В порівнянні із 01.01.2015 року штатна чисельність працівників галузі збільшилась на 70,36 од. </w:t>
      </w:r>
    </w:p>
    <w:p w:rsidR="00C71590" w:rsidRPr="00C71590" w:rsidRDefault="00C71590" w:rsidP="00C71590">
      <w:pPr>
        <w:ind w:firstLine="540"/>
        <w:jc w:val="both"/>
        <w:rPr>
          <w:highlight w:val="yellow"/>
        </w:rPr>
      </w:pPr>
      <w:r w:rsidRPr="00C71590">
        <w:t xml:space="preserve"> На оплату медикаментів та перев’язувальних матеріалів спрямовано 43,4 тис.грн., що складає 96,0 відс. до уточненого річного плану, з них за рахунок коштів освітньої субвенції з державного бюджету спрямовано 31,3 тис.грн., або 94,6 відс. до уточненого річного плану. У порівнянні з минулим роком видатки на медикаменти збільшились на 2,9 тис.грн., або 7,2 відс.  </w:t>
      </w:r>
    </w:p>
    <w:p w:rsidR="00C71590" w:rsidRPr="00C71590" w:rsidRDefault="00C71590" w:rsidP="00C71590">
      <w:pPr>
        <w:ind w:firstLine="540"/>
        <w:jc w:val="both"/>
      </w:pPr>
      <w:r w:rsidRPr="00C71590">
        <w:t>На оплату продуктів харчування спрямовано 20617,1 тис.грн., що складає 92,2 відс. до уточненого річного плану, з них:</w:t>
      </w:r>
    </w:p>
    <w:p w:rsidR="00C71590" w:rsidRPr="00C71590" w:rsidRDefault="00C71590" w:rsidP="00C71590">
      <w:pPr>
        <w:ind w:firstLine="540"/>
        <w:jc w:val="both"/>
      </w:pPr>
      <w:r w:rsidRPr="00C71590">
        <w:t>1) за рахунок освітньої субвенції з державного бюджету спрямовано 7904,6 тис.грн., що складає 93,1 відс. до уточненого річного плану;</w:t>
      </w:r>
    </w:p>
    <w:p w:rsidR="00C71590" w:rsidRPr="00C71590" w:rsidRDefault="00C71590" w:rsidP="00C71590">
      <w:pPr>
        <w:ind w:firstLine="540"/>
        <w:jc w:val="both"/>
      </w:pPr>
      <w:r w:rsidRPr="00C71590">
        <w:t xml:space="preserve">2) за рахунок субвенції з обласного бюджету на фінансову підтримку організації харчування дітей, у навчальних закладах області, які переміщуються з тимчасово-окупованої території України та районів проведення АТО на територію Черкаської області </w:t>
      </w:r>
      <w:r w:rsidRPr="00C71590">
        <w:rPr>
          <w:lang w:val="ru-RU"/>
        </w:rPr>
        <w:t>спрямовано</w:t>
      </w:r>
      <w:r w:rsidRPr="00C71590">
        <w:t xml:space="preserve"> 228,2 тис.грн., або 74,5 відс. до уточненого річного плану;</w:t>
      </w:r>
    </w:p>
    <w:p w:rsidR="00C71590" w:rsidRPr="00C71590" w:rsidRDefault="00C71590" w:rsidP="00C71590">
      <w:pPr>
        <w:ind w:firstLine="540"/>
        <w:jc w:val="both"/>
      </w:pPr>
      <w:r w:rsidRPr="00C71590">
        <w:lastRenderedPageBreak/>
        <w:t>3) за рахунок коштів міського бюджету спрямовано 12484,3 тис.грн., що складає 92,1 відс. до уточненого річного плану, з них:</w:t>
      </w:r>
    </w:p>
    <w:p w:rsidR="00C71590" w:rsidRPr="00C71590" w:rsidRDefault="00C71590" w:rsidP="00C71590">
      <w:pPr>
        <w:ind w:firstLine="540"/>
        <w:jc w:val="both"/>
      </w:pPr>
      <w:r w:rsidRPr="00C71590">
        <w:t>- на виконання заходів «Програми забезпечення безоплатними обідами учнів 5-11 класів загальноосвітніх навчальних закладів із малозабезпечених сімей, які не отримують допомогу відповідно до Закону України «Про державну соціальну допомогу малозабезпеченим сім’ям», а також із неповних та неблагополучних сімей» спрямовано 150,8 тис.грн., або 75,2 відс. до уточненого річного плану;</w:t>
      </w:r>
    </w:p>
    <w:p w:rsidR="00C71590" w:rsidRPr="00C71590" w:rsidRDefault="00C71590" w:rsidP="00C71590">
      <w:pPr>
        <w:ind w:firstLine="540"/>
        <w:jc w:val="both"/>
      </w:pPr>
      <w:r w:rsidRPr="00C71590">
        <w:t>- на виконання комплексної програми учасників антитерористичної операції  та членів їх сімей – мешканців м.Черкаси на 2015 рік спрямовано 239,1 тис.грн., або 38,1 відс. до уточненого річного плану.</w:t>
      </w:r>
    </w:p>
    <w:p w:rsidR="00C71590" w:rsidRPr="00C71590" w:rsidRDefault="00C71590" w:rsidP="00C71590">
      <w:pPr>
        <w:ind w:firstLine="540"/>
        <w:jc w:val="both"/>
      </w:pPr>
      <w:r w:rsidRPr="00C71590">
        <w:t xml:space="preserve">Крім того, 11400,8 тис.грн. за рахунок надходжень спеціального фонду як плата батьків 60 відсотків вартості харчування на день дитини у дошкільному навчальному закладі (КФКВ 070101) та 21,6 тис.грн. у НВО «Дошкільний навчальний заклад - загальноосвітня школа </w:t>
      </w:r>
      <w:r w:rsidRPr="00C71590">
        <w:rPr>
          <w:lang w:val="en-US"/>
        </w:rPr>
        <w:t>I</w:t>
      </w:r>
      <w:r w:rsidRPr="00C71590">
        <w:t>-</w:t>
      </w:r>
      <w:r w:rsidRPr="00C71590">
        <w:rPr>
          <w:lang w:val="en-US"/>
        </w:rPr>
        <w:t>II</w:t>
      </w:r>
      <w:r w:rsidRPr="00C71590">
        <w:t xml:space="preserve"> ст..№36» (КФКВ 070201) відповідно до Закону України «Про  дошкільну освіту» та  6,0 тис.грн., як благодійні внески у натуральній формі.</w:t>
      </w:r>
    </w:p>
    <w:p w:rsidR="00C71590" w:rsidRPr="00C71590" w:rsidRDefault="00C71590" w:rsidP="00C71590">
      <w:pPr>
        <w:jc w:val="both"/>
      </w:pPr>
      <w:r w:rsidRPr="00C71590">
        <w:t xml:space="preserve">              Протягом 2015 року діяли наступні грошові норми харчування на 1 дитину в день: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C71590" w:rsidRPr="00C71590" w:rsidTr="002F34D0">
        <w:tc>
          <w:tcPr>
            <w:tcW w:w="4928" w:type="dxa"/>
            <w:tcBorders>
              <w:top w:val="single" w:sz="4" w:space="0" w:color="auto"/>
              <w:left w:val="single" w:sz="4" w:space="0" w:color="auto"/>
              <w:bottom w:val="single" w:sz="4" w:space="0" w:color="auto"/>
              <w:right w:val="single" w:sz="4" w:space="0" w:color="auto"/>
            </w:tcBorders>
            <w:vAlign w:val="center"/>
          </w:tcPr>
          <w:p w:rsidR="00C71590" w:rsidRPr="00C71590" w:rsidRDefault="00C71590" w:rsidP="00C71590">
            <w:pPr>
              <w:jc w:val="center"/>
              <w:rPr>
                <w:b/>
                <w:bCs/>
                <w:i/>
                <w:iCs/>
              </w:rPr>
            </w:pPr>
            <w:r w:rsidRPr="00C71590">
              <w:rPr>
                <w:b/>
                <w:bCs/>
                <w:i/>
                <w:iCs/>
              </w:rPr>
              <w:t>Заклади освіти</w:t>
            </w:r>
          </w:p>
        </w:tc>
        <w:tc>
          <w:tcPr>
            <w:tcW w:w="5103" w:type="dxa"/>
            <w:tcBorders>
              <w:top w:val="single" w:sz="4" w:space="0" w:color="auto"/>
              <w:left w:val="single" w:sz="4" w:space="0" w:color="auto"/>
              <w:bottom w:val="single" w:sz="4" w:space="0" w:color="auto"/>
              <w:right w:val="single" w:sz="4" w:space="0" w:color="auto"/>
            </w:tcBorders>
            <w:vAlign w:val="center"/>
          </w:tcPr>
          <w:p w:rsidR="00C71590" w:rsidRPr="00C71590" w:rsidRDefault="00C71590" w:rsidP="00C71590">
            <w:pPr>
              <w:jc w:val="center"/>
              <w:rPr>
                <w:b/>
                <w:bCs/>
                <w:i/>
                <w:iCs/>
              </w:rPr>
            </w:pPr>
            <w:r w:rsidRPr="00C71590">
              <w:rPr>
                <w:b/>
                <w:bCs/>
                <w:i/>
                <w:iCs/>
              </w:rPr>
              <w:t>Вартість харчування 1 дитини на день</w:t>
            </w:r>
          </w:p>
        </w:tc>
      </w:tr>
      <w:tr w:rsidR="00C71590" w:rsidRPr="00C71590" w:rsidTr="002F34D0">
        <w:tc>
          <w:tcPr>
            <w:tcW w:w="10031" w:type="dxa"/>
            <w:gridSpan w:val="2"/>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center"/>
            </w:pPr>
            <w:r w:rsidRPr="00C71590">
              <w:rPr>
                <w:b/>
                <w:bCs/>
                <w:i/>
                <w:iCs/>
              </w:rPr>
              <w:t>Дошкільні заклади освіти (070101)</w:t>
            </w:r>
          </w:p>
        </w:tc>
      </w:tr>
      <w:tr w:rsidR="00C71590" w:rsidRPr="00C71590" w:rsidTr="002F34D0">
        <w:tc>
          <w:tcPr>
            <w:tcW w:w="4928"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both"/>
            </w:pPr>
            <w:r w:rsidRPr="00C71590">
              <w:t>Діти, що виховуються  в дошкільних навчальних закладах  (40 % за рахунок коштів бюджету, 60 % – батьківська плата):</w:t>
            </w:r>
          </w:p>
          <w:p w:rsidR="00C71590" w:rsidRPr="00C71590" w:rsidRDefault="00C71590" w:rsidP="00C71590">
            <w:pPr>
              <w:jc w:val="center"/>
            </w:pPr>
            <w:r w:rsidRPr="00C71590">
              <w:t>- садові  групи  (8133 дитини)</w:t>
            </w:r>
          </w:p>
          <w:p w:rsidR="00C71590" w:rsidRPr="00C71590" w:rsidRDefault="00C71590" w:rsidP="00C71590">
            <w:pPr>
              <w:jc w:val="center"/>
            </w:pPr>
          </w:p>
          <w:p w:rsidR="00C71590" w:rsidRPr="00C71590" w:rsidRDefault="00C71590" w:rsidP="00C71590">
            <w:pPr>
              <w:jc w:val="center"/>
            </w:pPr>
            <w:r w:rsidRPr="00C71590">
              <w:t>- ясельні групи  (2362 дитини)</w:t>
            </w:r>
          </w:p>
        </w:tc>
        <w:tc>
          <w:tcPr>
            <w:tcW w:w="5103"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center"/>
            </w:pPr>
          </w:p>
          <w:p w:rsidR="00C71590" w:rsidRPr="00C71590" w:rsidRDefault="00C71590" w:rsidP="00C71590">
            <w:pPr>
              <w:jc w:val="center"/>
            </w:pPr>
          </w:p>
          <w:p w:rsidR="00C71590" w:rsidRPr="00C71590" w:rsidRDefault="00C71590" w:rsidP="00C71590">
            <w:pPr>
              <w:jc w:val="center"/>
            </w:pPr>
          </w:p>
          <w:p w:rsidR="00C71590" w:rsidRPr="00C71590" w:rsidRDefault="00C71590" w:rsidP="00C71590">
            <w:pPr>
              <w:jc w:val="center"/>
            </w:pPr>
            <w:r w:rsidRPr="00C71590">
              <w:t>15,00 грн. з 01.03.15р. (до 01.03.15 – 11,54 грн., відсоток зростання складає 30%)</w:t>
            </w:r>
          </w:p>
          <w:p w:rsidR="00C71590" w:rsidRPr="00C71590" w:rsidRDefault="00C71590" w:rsidP="00C71590">
            <w:pPr>
              <w:jc w:val="center"/>
            </w:pPr>
            <w:r w:rsidRPr="00C71590">
              <w:t>10,40 грн. з 01.03.15р. (до 01.03.15 - 9,22 грн., відсоток зростання складає12,8%)</w:t>
            </w:r>
          </w:p>
        </w:tc>
      </w:tr>
      <w:tr w:rsidR="00C71590" w:rsidRPr="00C71590" w:rsidTr="002F34D0">
        <w:trPr>
          <w:trHeight w:val="2519"/>
        </w:trPr>
        <w:tc>
          <w:tcPr>
            <w:tcW w:w="4928"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both"/>
            </w:pPr>
            <w:r w:rsidRPr="00C71590">
              <w:t>Діти, що виховуються в дошкільних навчальних закладах в групах з цілодобовим перебуванням (100 % за рахунок коштів бюджету)   (62 дитини)</w:t>
            </w:r>
          </w:p>
          <w:p w:rsidR="00C71590" w:rsidRPr="00C71590" w:rsidRDefault="00C71590" w:rsidP="00C71590">
            <w:pPr>
              <w:jc w:val="both"/>
            </w:pPr>
            <w:r w:rsidRPr="00C71590">
              <w:t>Діти, що виховуються в дошкільних навчальних закладах санаторного типу (100 %  за рахунок коштів бюджету):</w:t>
            </w:r>
          </w:p>
          <w:p w:rsidR="00C71590" w:rsidRPr="00C71590" w:rsidRDefault="00C71590" w:rsidP="00C71590">
            <w:pPr>
              <w:jc w:val="center"/>
            </w:pPr>
            <w:r w:rsidRPr="00C71590">
              <w:t>- садові групи  (103 дитини)</w:t>
            </w:r>
          </w:p>
          <w:p w:rsidR="00C71590" w:rsidRPr="00C71590" w:rsidRDefault="00C71590" w:rsidP="00C71590">
            <w:pPr>
              <w:jc w:val="center"/>
            </w:pPr>
          </w:p>
          <w:p w:rsidR="00C71590" w:rsidRPr="00C71590" w:rsidRDefault="00C71590" w:rsidP="00C71590">
            <w:pPr>
              <w:jc w:val="center"/>
            </w:pPr>
            <w:r w:rsidRPr="00C71590">
              <w:t>- ясельні групи  (49 дитини)</w:t>
            </w:r>
          </w:p>
        </w:tc>
        <w:tc>
          <w:tcPr>
            <w:tcW w:w="5103"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center"/>
            </w:pPr>
          </w:p>
          <w:p w:rsidR="00C71590" w:rsidRPr="00C71590" w:rsidRDefault="00C71590" w:rsidP="00C71590">
            <w:pPr>
              <w:jc w:val="center"/>
            </w:pPr>
            <w:r w:rsidRPr="00C71590">
              <w:t>27,33 грн. з 01.03.15р. (до 01.03.15 - 26,00 грн.,  відсоток зростання складає 5,1%)</w:t>
            </w:r>
          </w:p>
          <w:p w:rsidR="00C71590" w:rsidRPr="00C71590" w:rsidRDefault="00C71590" w:rsidP="00C71590">
            <w:pPr>
              <w:jc w:val="center"/>
            </w:pPr>
          </w:p>
          <w:p w:rsidR="00C71590" w:rsidRPr="00C71590" w:rsidRDefault="00C71590" w:rsidP="00C71590">
            <w:pPr>
              <w:jc w:val="center"/>
            </w:pPr>
          </w:p>
          <w:p w:rsidR="00C71590" w:rsidRPr="00C71590" w:rsidRDefault="00C71590" w:rsidP="00C71590">
            <w:pPr>
              <w:jc w:val="center"/>
            </w:pPr>
          </w:p>
          <w:p w:rsidR="00C71590" w:rsidRPr="00C71590" w:rsidRDefault="00C71590" w:rsidP="00C71590">
            <w:pPr>
              <w:jc w:val="center"/>
            </w:pPr>
          </w:p>
          <w:p w:rsidR="00C71590" w:rsidRPr="00C71590" w:rsidRDefault="00C71590" w:rsidP="00C71590">
            <w:pPr>
              <w:jc w:val="center"/>
            </w:pPr>
            <w:r w:rsidRPr="00C71590">
              <w:t>25,92 грн. з 01.03.15р. (до 01.03.15 - 24,66 грн.,</w:t>
            </w:r>
          </w:p>
          <w:p w:rsidR="00C71590" w:rsidRPr="00C71590" w:rsidRDefault="00C71590" w:rsidP="00C71590">
            <w:pPr>
              <w:jc w:val="center"/>
            </w:pPr>
            <w:r w:rsidRPr="00C71590">
              <w:t>відсоток зростання складає 5,1%)</w:t>
            </w:r>
          </w:p>
          <w:p w:rsidR="00C71590" w:rsidRPr="00C71590" w:rsidRDefault="00C71590" w:rsidP="00C71590">
            <w:pPr>
              <w:jc w:val="center"/>
            </w:pPr>
            <w:r w:rsidRPr="00C71590">
              <w:t>21,00 грн. з 01.03.15р. (до 01.03.15 - 20,00 грн.,</w:t>
            </w:r>
          </w:p>
          <w:p w:rsidR="00C71590" w:rsidRPr="00C71590" w:rsidRDefault="00C71590" w:rsidP="00C71590">
            <w:pPr>
              <w:jc w:val="center"/>
            </w:pPr>
            <w:r w:rsidRPr="00C71590">
              <w:t>відсоток зростання складає 5,0%)</w:t>
            </w:r>
          </w:p>
        </w:tc>
      </w:tr>
      <w:tr w:rsidR="00C71590" w:rsidRPr="00C71590" w:rsidTr="002F34D0">
        <w:trPr>
          <w:trHeight w:val="242"/>
        </w:trPr>
        <w:tc>
          <w:tcPr>
            <w:tcW w:w="10031" w:type="dxa"/>
            <w:gridSpan w:val="2"/>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center"/>
              <w:rPr>
                <w:b/>
                <w:bCs/>
                <w:i/>
                <w:iCs/>
              </w:rPr>
            </w:pPr>
            <w:r w:rsidRPr="00C71590">
              <w:rPr>
                <w:b/>
                <w:bCs/>
                <w:i/>
                <w:iCs/>
              </w:rPr>
              <w:t>Загальноосвiтнi школи (в т.ч. школа-дитячий садок) (070201)</w:t>
            </w:r>
          </w:p>
        </w:tc>
      </w:tr>
      <w:tr w:rsidR="00C71590" w:rsidRPr="00C71590" w:rsidTr="002F34D0">
        <w:tc>
          <w:tcPr>
            <w:tcW w:w="4928"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both"/>
            </w:pPr>
            <w:r w:rsidRPr="00C71590">
              <w:t>Учні 1–4 класів (сніданок) (100 % за рахунок коштів бюджету)  (10500 учнів)</w:t>
            </w:r>
          </w:p>
        </w:tc>
        <w:tc>
          <w:tcPr>
            <w:tcW w:w="5103"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center"/>
            </w:pPr>
            <w:r w:rsidRPr="00C71590">
              <w:t>6,93 грн. з 01.12.15р., 5,48 грн. з 01.05.15р.,</w:t>
            </w:r>
          </w:p>
          <w:p w:rsidR="00C71590" w:rsidRPr="00C71590" w:rsidRDefault="00C71590" w:rsidP="00C71590">
            <w:pPr>
              <w:jc w:val="center"/>
            </w:pPr>
            <w:r w:rsidRPr="00C71590">
              <w:t>5,20 грн. з 20.02.15р.(до 20.02.15 -  4,90 грн., </w:t>
            </w:r>
          </w:p>
          <w:p w:rsidR="00C71590" w:rsidRPr="00C71590" w:rsidRDefault="00C71590" w:rsidP="00C71590">
            <w:pPr>
              <w:jc w:val="center"/>
            </w:pPr>
            <w:r w:rsidRPr="00C71590">
              <w:t>відсоток зростання складає 41,4%)</w:t>
            </w:r>
          </w:p>
        </w:tc>
      </w:tr>
      <w:tr w:rsidR="00C71590" w:rsidRPr="00C71590" w:rsidTr="002F34D0">
        <w:tc>
          <w:tcPr>
            <w:tcW w:w="4928"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both"/>
            </w:pPr>
            <w:r w:rsidRPr="00C71590">
              <w:t>Учні  пільгових категорій (сніданок) (100 % за рахунок коштів бюджету):  по актах (236 учнів),  сироти (140 учнів), малозабезпечені  учні 5-11 кл. (197 учнів), підтримка учасників АТО та їх сімей (233 учня),  інклюзивна освіта       (5 учнів)</w:t>
            </w:r>
          </w:p>
        </w:tc>
        <w:tc>
          <w:tcPr>
            <w:tcW w:w="5103"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center"/>
            </w:pPr>
          </w:p>
          <w:p w:rsidR="00C71590" w:rsidRPr="00C71590" w:rsidRDefault="00C71590" w:rsidP="00C71590">
            <w:pPr>
              <w:jc w:val="center"/>
            </w:pPr>
            <w:r w:rsidRPr="00C71590">
              <w:t>8,49 грн. з 01.12.15р., 6,71 грн. з 01.05.15р.,</w:t>
            </w:r>
          </w:p>
          <w:p w:rsidR="00C71590" w:rsidRPr="00C71590" w:rsidRDefault="00C71590" w:rsidP="00C71590">
            <w:pPr>
              <w:jc w:val="center"/>
            </w:pPr>
            <w:r w:rsidRPr="00C71590">
              <w:t>6,37 грн. з 20.02.15р. (до 19.02.15 -   6,00 грн., відсоток зростання складає 41,5 %)</w:t>
            </w:r>
          </w:p>
        </w:tc>
      </w:tr>
      <w:tr w:rsidR="00C71590" w:rsidRPr="00C71590" w:rsidTr="002F34D0">
        <w:trPr>
          <w:trHeight w:val="557"/>
        </w:trPr>
        <w:tc>
          <w:tcPr>
            <w:tcW w:w="4928"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both"/>
            </w:pPr>
            <w:r w:rsidRPr="00C71590">
              <w:t>Учні пільгових категорій, які відвідують групи продовженого дня (обід) (100 % за рахунок коштів бюджету)</w:t>
            </w:r>
          </w:p>
        </w:tc>
        <w:tc>
          <w:tcPr>
            <w:tcW w:w="5103"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center"/>
            </w:pPr>
            <w:r w:rsidRPr="00C71590">
              <w:t>0</w:t>
            </w:r>
          </w:p>
          <w:p w:rsidR="00C71590" w:rsidRPr="00C71590" w:rsidRDefault="00C71590" w:rsidP="00C71590">
            <w:pPr>
              <w:jc w:val="center"/>
            </w:pPr>
          </w:p>
        </w:tc>
      </w:tr>
      <w:tr w:rsidR="00C71590" w:rsidRPr="00C71590" w:rsidTr="002F34D0">
        <w:tc>
          <w:tcPr>
            <w:tcW w:w="4928"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both"/>
            </w:pPr>
            <w:r w:rsidRPr="00C71590">
              <w:t xml:space="preserve">Учні перших класів, які навчаються на базі дошкільних навчальних закладів і враховуються в контингенті дошкільних навчальних закладів та загальноосвітніх навчальних закладів (40 % за рахунок коштів </w:t>
            </w:r>
            <w:r w:rsidRPr="00C71590">
              <w:lastRenderedPageBreak/>
              <w:t>бюджету, 60 % – батьківська плата) (103 учня)</w:t>
            </w:r>
          </w:p>
        </w:tc>
        <w:tc>
          <w:tcPr>
            <w:tcW w:w="5103"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center"/>
            </w:pPr>
          </w:p>
          <w:p w:rsidR="00C71590" w:rsidRPr="00C71590" w:rsidRDefault="00C71590" w:rsidP="00C71590">
            <w:pPr>
              <w:jc w:val="center"/>
            </w:pPr>
            <w:r w:rsidRPr="00C71590">
              <w:t>11,25 грн. з 01.03.15р. (до 01.03.15 - 7,90 грн.,  відсоток зростання складає 42,4 %)</w:t>
            </w:r>
          </w:p>
        </w:tc>
      </w:tr>
      <w:tr w:rsidR="00C71590" w:rsidRPr="00C71590" w:rsidTr="002F34D0">
        <w:tc>
          <w:tcPr>
            <w:tcW w:w="4928"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both"/>
            </w:pPr>
            <w:r w:rsidRPr="00C71590">
              <w:lastRenderedPageBreak/>
              <w:t>Учні перших класів, які навчаються в спеціалізованій загальноосвітній школі І ступеня № 36 (сніданок) (100 % за рахунок коштів бюджету)  (52 учні)</w:t>
            </w:r>
          </w:p>
        </w:tc>
        <w:tc>
          <w:tcPr>
            <w:tcW w:w="5103"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center"/>
            </w:pPr>
            <w:r w:rsidRPr="00C71590">
              <w:t xml:space="preserve">3,40 грн. з 25.02.15р. (до 25.02.15 -  3,00 грн., відсоток зростання складає 13,3 %) </w:t>
            </w:r>
          </w:p>
        </w:tc>
      </w:tr>
      <w:tr w:rsidR="00C71590" w:rsidRPr="00C71590" w:rsidTr="002F34D0">
        <w:tc>
          <w:tcPr>
            <w:tcW w:w="4928"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both"/>
              <w:rPr>
                <w:highlight w:val="yellow"/>
              </w:rPr>
            </w:pPr>
            <w:r w:rsidRPr="00C71590">
              <w:t xml:space="preserve">Діти садових груп, які виховуються у НВО «Дошкільний навчальний заклад – загально - освітня школа </w:t>
            </w:r>
            <w:r w:rsidRPr="00C71590">
              <w:rPr>
                <w:lang w:val="en-US"/>
              </w:rPr>
              <w:t>I</w:t>
            </w:r>
            <w:r w:rsidRPr="00C71590">
              <w:t>-</w:t>
            </w:r>
            <w:r w:rsidRPr="00C71590">
              <w:rPr>
                <w:lang w:val="en-US"/>
              </w:rPr>
              <w:t>II</w:t>
            </w:r>
            <w:r w:rsidRPr="00C71590">
              <w:t xml:space="preserve"> ст..№36» (40 % за рахунок коштів бюджету, 60% - батьківська плата) (34 дитини)</w:t>
            </w:r>
            <w:r w:rsidRPr="00C71590">
              <w:rPr>
                <w:highlight w:val="yellow"/>
              </w:rPr>
              <w:t xml:space="preserve"> </w:t>
            </w:r>
          </w:p>
        </w:tc>
        <w:tc>
          <w:tcPr>
            <w:tcW w:w="5103" w:type="dxa"/>
            <w:tcBorders>
              <w:top w:val="single" w:sz="4" w:space="0" w:color="auto"/>
              <w:left w:val="single" w:sz="4" w:space="0" w:color="auto"/>
              <w:bottom w:val="single" w:sz="4" w:space="0" w:color="auto"/>
              <w:right w:val="single" w:sz="4" w:space="0" w:color="auto"/>
            </w:tcBorders>
          </w:tcPr>
          <w:p w:rsidR="00C71590" w:rsidRPr="00C71590" w:rsidRDefault="00C71590" w:rsidP="00C71590">
            <w:pPr>
              <w:jc w:val="center"/>
            </w:pPr>
            <w:r w:rsidRPr="00C71590">
              <w:t>15,00 грн. з 01.03.15р. (до 01.03.15 - 11,54 грн.,  відсоток зростання складає 30 %)</w:t>
            </w:r>
          </w:p>
        </w:tc>
      </w:tr>
    </w:tbl>
    <w:p w:rsidR="00C71590" w:rsidRPr="00C71590" w:rsidRDefault="00C71590" w:rsidP="00C71590">
      <w:pPr>
        <w:ind w:firstLine="540"/>
        <w:jc w:val="both"/>
      </w:pPr>
      <w:r w:rsidRPr="00C71590">
        <w:t xml:space="preserve">У порівнянні з минулим роком видатки на оплату продуктів харчування зросли на 2262,5 тис.грн., або на 12,3 відс. Питома вага видатків на оплату продуктів харчування в загальному обсязі видатків складає 5,7 відс. </w:t>
      </w:r>
    </w:p>
    <w:p w:rsidR="00C71590" w:rsidRPr="00C71590" w:rsidRDefault="00C71590" w:rsidP="00C71590">
      <w:pPr>
        <w:ind w:firstLine="540"/>
        <w:jc w:val="both"/>
      </w:pPr>
      <w:r w:rsidRPr="00C71590">
        <w:t xml:space="preserve">Здійснено розрахунки за фактично спожиті бюджетними установами енергоносії та комунальні послуги. З цією метою спрямовано 57748,4 тис.грн., що складає 95,7 відс. до уточненого річного плану, з них за рахунок освітньої субвенції з державного бюджету спрямовано 25105,0 тис.грн., або 98,0 відс. до уточненого річного плану.  У порівнянні з минулим роком видатки на оплату комунальних послуг та енергоносіїв збільшились на 25272,4 тис.грн., або 77,8 відс. Зокрема, на оплату теплопостачання направлено 46936,1 тис.грн. (більше на 83,7 відс.), оплату водопостачання та водовідведення – 4555,7 тис.грн. (більше у 2,5 рази), оплату електроенергії – 6256,6 тис.грн. (більше на 23,5 відс.). Значне зростання обсягу видатків обумовлене:  1) непроведенням платежів УДКСУ у м. Черкасах Черкаської області в кінці 2014 року (кредиторська заборгованість станом на 01.01.2015 року становила 5156,4 тис.грн.); 2) значним підвищенням тарифів за спожиті бюджетними установами енергоносії та комунальні послуги протягом 2015 року, лише по теплопостачанню збільшення відбулося по ПАТ «Черкаське хімволокно» - на 13,0 відс., КПТМ «Чераситеплокомуненерго» - у 2,1 рази; 3) з 1 вересня 2014 року було введено тариф із послуги централізованого постачання гарячої води (лише по КПТМ «Чераситеплокомуненерго»).  Питома вага видатків на енергоносії та комунальні послуги в загальному обсязі видатків складає 15,9 відс. </w:t>
      </w:r>
    </w:p>
    <w:p w:rsidR="00C71590" w:rsidRPr="00C71590" w:rsidRDefault="00C71590" w:rsidP="00C71590">
      <w:pPr>
        <w:ind w:firstLine="540"/>
        <w:jc w:val="both"/>
      </w:pPr>
      <w:r w:rsidRPr="00C71590">
        <w:t>На інші поточні видатки спрямовано 8348,1 тис.грн., що складає 84,1 відс. до уточненого річного плану, з них:</w:t>
      </w:r>
    </w:p>
    <w:p w:rsidR="00C71590" w:rsidRPr="00C71590" w:rsidRDefault="00C71590" w:rsidP="00C71590">
      <w:pPr>
        <w:ind w:firstLine="540"/>
        <w:jc w:val="both"/>
      </w:pPr>
      <w:r w:rsidRPr="00C71590">
        <w:t>- за рахунок коштів освітньої субвенції з державного бюджету спрямовано 797,8 тис.грн., що складає 43,4 відс. до уточненого річного плану;</w:t>
      </w:r>
    </w:p>
    <w:p w:rsidR="00C71590" w:rsidRPr="00C71590" w:rsidRDefault="00C71590" w:rsidP="00C71590">
      <w:pPr>
        <w:ind w:firstLine="540"/>
        <w:jc w:val="both"/>
        <w:rPr>
          <w:color w:val="FF0000"/>
        </w:rPr>
      </w:pPr>
      <w:r w:rsidRPr="00C71590">
        <w:t>- одержана та використана субвенція з державного бюджету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(КТКВК 070303) у сумі 2295,1 тис.грн., або 92,0 відс. до уточненого річного плану (</w:t>
      </w:r>
      <w:r w:rsidRPr="00C71590">
        <w:rPr>
          <w:i/>
        </w:rPr>
        <w:t>головним розпорядником коштів субвенції визначений департамент соціальної політики Черкаської міської ради</w:t>
      </w:r>
      <w:r w:rsidRPr="00C71590">
        <w:t>);</w:t>
      </w:r>
    </w:p>
    <w:p w:rsidR="00C71590" w:rsidRPr="00C71590" w:rsidRDefault="00C71590" w:rsidP="00C71590">
      <w:pPr>
        <w:tabs>
          <w:tab w:val="left" w:pos="4536"/>
        </w:tabs>
        <w:ind w:firstLine="540"/>
        <w:jc w:val="both"/>
      </w:pPr>
      <w:r w:rsidRPr="00C71590">
        <w:t xml:space="preserve">- за рахунок субвенції з обласного бюджету на виплату обласних стипендій переможцям III етапу Всеукраїнських учнівських олімпіад з базових дисциплін та </w:t>
      </w:r>
      <w:r w:rsidRPr="00C71590">
        <w:rPr>
          <w:lang w:val="en-US"/>
        </w:rPr>
        <w:t>II</w:t>
      </w:r>
      <w:r w:rsidRPr="00C71590">
        <w:t xml:space="preserve"> етапу-конкурсу – захисту науково-дослідницьких робіт учнів – членів Малої академії спрямовано 150,3 тис.грн., що складає 100,0 відс. до уточненого річного плану;</w:t>
      </w:r>
    </w:p>
    <w:p w:rsidR="00C71590" w:rsidRPr="00C71590" w:rsidRDefault="00C71590" w:rsidP="00C71590">
      <w:pPr>
        <w:tabs>
          <w:tab w:val="left" w:pos="4536"/>
        </w:tabs>
        <w:ind w:firstLine="540"/>
        <w:jc w:val="both"/>
      </w:pPr>
      <w:r w:rsidRPr="00C71590">
        <w:t>- за рахунок субвенції з обласного бюджету  на соціально-економічний розвиток регіонів (з урахуванням погашення кредиторської заборгованості) спрямовано 96,6 тис.грн., що складає 100,0 відс. до уточненого річного плану, в тому числі: 1) на проведення ремонтних робіт, придбання лінолеуму, меблів та комп’ютерної техніки для ЗОШ № 28 – 29,9 тис.грн., або 99,7 відс.; 2) придбання товарно-матеріальних цінностей для ЗОШ № 20 – 1,2 тис.грн., або 100,0 відс.; 3) придбання профнастилу для паркану для ДНЗ № 13 – 17,5 тис.грн., або 100,0 відс.; 4) проведення поточного ремонту в ЗОШ № 4 – 30,0 ти.грн., або 100,0 відс.; 5) придбання  іграшок для ДНЗ № 30 – 18,0 тис.грн., або 100,0 відс.;</w:t>
      </w:r>
    </w:p>
    <w:p w:rsidR="00C71590" w:rsidRPr="00C71590" w:rsidRDefault="00C71590" w:rsidP="00C71590">
      <w:pPr>
        <w:tabs>
          <w:tab w:val="left" w:pos="4536"/>
        </w:tabs>
        <w:ind w:firstLine="540"/>
        <w:jc w:val="both"/>
      </w:pPr>
      <w:r w:rsidRPr="00C71590">
        <w:lastRenderedPageBreak/>
        <w:t>- на виконання заходів міської Програми виплати муніципальних стипендій обдарованим дітям та учнівській молоді міста (КТКВ 070802) спрямовано 34,2 тис.грн., або 95,0 відс. до уточненого річного плану (кількість учнів, які отримали стипендію склала 19 осіб, розмір стипендії на одного учня складає 200 грн.);</w:t>
      </w:r>
    </w:p>
    <w:p w:rsidR="00C71590" w:rsidRPr="00C71590" w:rsidRDefault="00C71590" w:rsidP="00C71590">
      <w:pPr>
        <w:ind w:firstLine="539"/>
        <w:jc w:val="both"/>
      </w:pPr>
      <w:r w:rsidRPr="00C71590">
        <w:t xml:space="preserve">- на виконання заходів Програми виплати премій учням загальноосвітніх та позашкільних навчальних закладів міста Черкаси – переможцям Міжнародних та Всеукраїнських олімпіад, конкурсів і турнірів, педагогічним і науково-педагогічним працівникам, які підготували цих переможців (КТКВК 070802) спрямовано 109,7 тис.грн., що складає 100,0 відс. до уточненого річного плану; </w:t>
      </w:r>
    </w:p>
    <w:p w:rsidR="00C71590" w:rsidRPr="00C71590" w:rsidRDefault="00C71590" w:rsidP="00C71590">
      <w:pPr>
        <w:ind w:firstLine="539"/>
        <w:jc w:val="both"/>
      </w:pPr>
      <w:r w:rsidRPr="00C71590">
        <w:t xml:space="preserve">- на інші поточні видатки спрямовано 4882,3 тис.грн., що складає 76,0 відс. до уточненого річного плану, з них:  на придбання предметів, матеріалів, обладнання та інвентарю для господарських потреб установ освіти – 2706,5 тис.грн., або 98,0 відс.; оплату послуг (крім комунальних) – 2029,6 тис.грн., або 88,1 відс.; видатки на відрядження працівників установ та підвищення кваліфікації – 29,5 тис.грн., або 94,2 відс.; інші поточні видатки – 116,7 тис.грн. </w:t>
      </w:r>
    </w:p>
    <w:p w:rsidR="00C71590" w:rsidRPr="00C71590" w:rsidRDefault="00C71590" w:rsidP="00C71590">
      <w:pPr>
        <w:ind w:firstLine="539"/>
        <w:jc w:val="both"/>
      </w:pPr>
      <w:r w:rsidRPr="00C71590">
        <w:t>Для соціального захисту дітей-сиріт і дітей, які залишились без батьківського піклування, спрямовано кошти на:</w:t>
      </w:r>
    </w:p>
    <w:p w:rsidR="00C71590" w:rsidRPr="00C71590" w:rsidRDefault="00C71590" w:rsidP="00C71590">
      <w:pPr>
        <w:numPr>
          <w:ilvl w:val="0"/>
          <w:numId w:val="14"/>
        </w:numPr>
        <w:jc w:val="both"/>
      </w:pPr>
      <w:r w:rsidRPr="00C71590">
        <w:t xml:space="preserve">придбання м’якого інвентарю (шкільна форма) в сумі 82,5 тис.грн. (165 дітей * 500 </w:t>
      </w:r>
    </w:p>
    <w:p w:rsidR="00C71590" w:rsidRPr="00C71590" w:rsidRDefault="00C71590" w:rsidP="00C71590">
      <w:pPr>
        <w:jc w:val="both"/>
      </w:pPr>
      <w:r w:rsidRPr="00C71590">
        <w:t>грн.);</w:t>
      </w:r>
    </w:p>
    <w:p w:rsidR="00C71590" w:rsidRPr="00C71590" w:rsidRDefault="00C71590" w:rsidP="00C71590">
      <w:pPr>
        <w:numPr>
          <w:ilvl w:val="0"/>
          <w:numId w:val="14"/>
        </w:numPr>
        <w:jc w:val="both"/>
      </w:pPr>
      <w:r w:rsidRPr="00C71590">
        <w:t xml:space="preserve">виплату матеріальної допомоги дітям в сумі 79,6 тис.грн., яким в 2015 році випов- </w:t>
      </w:r>
    </w:p>
    <w:p w:rsidR="00C71590" w:rsidRPr="00C71590" w:rsidRDefault="00C71590" w:rsidP="00C71590">
      <w:pPr>
        <w:jc w:val="both"/>
      </w:pPr>
      <w:r w:rsidRPr="00C71590">
        <w:t>нилось 18 років (44 дитини *1810 грн.).</w:t>
      </w:r>
    </w:p>
    <w:p w:rsidR="00C71590" w:rsidRPr="00C71590" w:rsidRDefault="00C71590" w:rsidP="00C71590">
      <w:pPr>
        <w:ind w:firstLine="539"/>
        <w:jc w:val="both"/>
      </w:pPr>
      <w:r w:rsidRPr="00C71590">
        <w:t>Питома вага на інші видатки в загальному обсязі видатків складає 2,4 відс. В порівнянні з відповідним періодом минулого року на інші поточні видатки спрямовано на 872,4 тис.грн., або 21,7 відс. більше ніж в минулому році.</w:t>
      </w:r>
    </w:p>
    <w:p w:rsidR="00C71590" w:rsidRPr="00C71590" w:rsidRDefault="00C71590" w:rsidP="00C71590">
      <w:pPr>
        <w:ind w:firstLine="540"/>
        <w:jc w:val="both"/>
      </w:pPr>
      <w:r w:rsidRPr="00C71590">
        <w:t>Фінансовий норматив бюджетної забезпеченості на одного учня, розрахований Міністерством фінансів України на 2015 рік  склав 8898,5 грн., що на 91,7 грн., або 1,0 від. більше, ніж був розрахований на 2014 рік (8806,8 грн.),   обсяг видатків на одного учня, затверджений рішенням міської ради на 2015 рік становив 8240,8 грн., фактично направлено з міського бюджету 7990,6 грн., тобто на 10,2 відс. менше від фінансового нормативу, розрахованого МФУ та на 3,0 відс. менше обсягу, затвердженого в міському бюджеті на одного учня. В порівнянні з 2014 роком видатки  на одного учня збільшились на 1231,9 грн., або на  18,2 відс.</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3"/>
        <w:gridCol w:w="1560"/>
        <w:gridCol w:w="1842"/>
        <w:gridCol w:w="2505"/>
      </w:tblGrid>
      <w:tr w:rsidR="00C71590" w:rsidRPr="00C71590" w:rsidTr="002F34D0">
        <w:trPr>
          <w:trHeight w:val="285"/>
        </w:trPr>
        <w:tc>
          <w:tcPr>
            <w:tcW w:w="3423" w:type="dxa"/>
          </w:tcPr>
          <w:p w:rsidR="00C71590" w:rsidRPr="00C71590" w:rsidRDefault="00C71590" w:rsidP="00C71590">
            <w:pPr>
              <w:ind w:left="21" w:firstLine="539"/>
              <w:jc w:val="both"/>
            </w:pPr>
          </w:p>
        </w:tc>
        <w:tc>
          <w:tcPr>
            <w:tcW w:w="1560" w:type="dxa"/>
          </w:tcPr>
          <w:p w:rsidR="00C71590" w:rsidRPr="00C71590" w:rsidRDefault="00C71590" w:rsidP="00C71590">
            <w:pPr>
              <w:ind w:left="21" w:firstLine="155"/>
              <w:jc w:val="center"/>
            </w:pPr>
            <w:r w:rsidRPr="00C71590">
              <w:t>2014 рік</w:t>
            </w:r>
          </w:p>
        </w:tc>
        <w:tc>
          <w:tcPr>
            <w:tcW w:w="1842" w:type="dxa"/>
          </w:tcPr>
          <w:p w:rsidR="00C71590" w:rsidRPr="00C71590" w:rsidRDefault="00C71590" w:rsidP="00C71590">
            <w:pPr>
              <w:ind w:left="21" w:firstLine="154"/>
              <w:jc w:val="center"/>
            </w:pPr>
            <w:r w:rsidRPr="00C71590">
              <w:t>2015 рік</w:t>
            </w:r>
          </w:p>
        </w:tc>
        <w:tc>
          <w:tcPr>
            <w:tcW w:w="2505" w:type="dxa"/>
          </w:tcPr>
          <w:p w:rsidR="00C71590" w:rsidRPr="00C71590" w:rsidRDefault="00C71590" w:rsidP="00C71590">
            <w:pPr>
              <w:ind w:left="21" w:firstLine="539"/>
              <w:jc w:val="center"/>
            </w:pPr>
            <w:r w:rsidRPr="00C71590">
              <w:t>+,-</w:t>
            </w:r>
          </w:p>
        </w:tc>
      </w:tr>
      <w:tr w:rsidR="00C71590" w:rsidRPr="00C71590" w:rsidTr="002F34D0">
        <w:trPr>
          <w:trHeight w:val="255"/>
        </w:trPr>
        <w:tc>
          <w:tcPr>
            <w:tcW w:w="3423" w:type="dxa"/>
          </w:tcPr>
          <w:p w:rsidR="00C71590" w:rsidRPr="00C71590" w:rsidRDefault="00C71590" w:rsidP="00C71590">
            <w:pPr>
              <w:ind w:left="21" w:firstLine="539"/>
              <w:jc w:val="both"/>
            </w:pPr>
            <w:r w:rsidRPr="00C71590">
              <w:t>Фінансовий норматив бюджетної забезпеченості на одного учня, розрахований Міністерством фінансів України</w:t>
            </w:r>
          </w:p>
        </w:tc>
        <w:tc>
          <w:tcPr>
            <w:tcW w:w="1560" w:type="dxa"/>
            <w:vAlign w:val="center"/>
          </w:tcPr>
          <w:p w:rsidR="00C71590" w:rsidRPr="00C71590" w:rsidRDefault="00C71590" w:rsidP="00C71590">
            <w:pPr>
              <w:ind w:left="21" w:firstLine="539"/>
              <w:jc w:val="center"/>
            </w:pPr>
            <w:r w:rsidRPr="00C71590">
              <w:t>8806,8</w:t>
            </w:r>
          </w:p>
        </w:tc>
        <w:tc>
          <w:tcPr>
            <w:tcW w:w="1842" w:type="dxa"/>
            <w:vAlign w:val="center"/>
          </w:tcPr>
          <w:p w:rsidR="00C71590" w:rsidRPr="00C71590" w:rsidRDefault="00C71590" w:rsidP="00C71590">
            <w:pPr>
              <w:ind w:left="21" w:firstLine="539"/>
              <w:jc w:val="center"/>
            </w:pPr>
            <w:r w:rsidRPr="00C71590">
              <w:t>8898,5</w:t>
            </w:r>
          </w:p>
        </w:tc>
        <w:tc>
          <w:tcPr>
            <w:tcW w:w="2505" w:type="dxa"/>
            <w:vAlign w:val="center"/>
          </w:tcPr>
          <w:p w:rsidR="00C71590" w:rsidRPr="00C71590" w:rsidRDefault="00C71590" w:rsidP="00C71590">
            <w:pPr>
              <w:ind w:left="21" w:firstLine="539"/>
              <w:jc w:val="center"/>
            </w:pPr>
            <w:r w:rsidRPr="00C71590">
              <w:t>+91,7 тис.грн.,   або 1,0%</w:t>
            </w:r>
          </w:p>
        </w:tc>
      </w:tr>
      <w:tr w:rsidR="00C71590" w:rsidRPr="00C71590" w:rsidTr="002F34D0">
        <w:trPr>
          <w:trHeight w:val="258"/>
        </w:trPr>
        <w:tc>
          <w:tcPr>
            <w:tcW w:w="3423" w:type="dxa"/>
          </w:tcPr>
          <w:p w:rsidR="00C71590" w:rsidRPr="00C71590" w:rsidRDefault="00C71590" w:rsidP="00C71590">
            <w:pPr>
              <w:ind w:left="21" w:firstLine="539"/>
              <w:jc w:val="both"/>
            </w:pPr>
            <w:r w:rsidRPr="00C71590">
              <w:t>Обсяг видатків на одного учня, затверджений рішенням міської ради</w:t>
            </w:r>
          </w:p>
        </w:tc>
        <w:tc>
          <w:tcPr>
            <w:tcW w:w="1560" w:type="dxa"/>
            <w:vAlign w:val="center"/>
          </w:tcPr>
          <w:p w:rsidR="00C71590" w:rsidRPr="00C71590" w:rsidRDefault="00C71590" w:rsidP="00C71590">
            <w:pPr>
              <w:ind w:left="21" w:firstLine="539"/>
              <w:jc w:val="center"/>
            </w:pPr>
            <w:r w:rsidRPr="00C71590">
              <w:t>7228,0</w:t>
            </w:r>
          </w:p>
        </w:tc>
        <w:tc>
          <w:tcPr>
            <w:tcW w:w="1842" w:type="dxa"/>
            <w:vAlign w:val="center"/>
          </w:tcPr>
          <w:p w:rsidR="00C71590" w:rsidRPr="00C71590" w:rsidRDefault="00C71590" w:rsidP="00C71590">
            <w:pPr>
              <w:ind w:left="21" w:firstLine="539"/>
              <w:jc w:val="center"/>
            </w:pPr>
            <w:r w:rsidRPr="00C71590">
              <w:t>8240,8</w:t>
            </w:r>
          </w:p>
        </w:tc>
        <w:tc>
          <w:tcPr>
            <w:tcW w:w="2505" w:type="dxa"/>
            <w:vAlign w:val="center"/>
          </w:tcPr>
          <w:p w:rsidR="00C71590" w:rsidRPr="00C71590" w:rsidRDefault="00C71590" w:rsidP="00C71590">
            <w:pPr>
              <w:ind w:left="21" w:hanging="129"/>
              <w:jc w:val="center"/>
            </w:pPr>
            <w:r w:rsidRPr="00C71590">
              <w:t xml:space="preserve">          +1012,8 тис.грн.,</w:t>
            </w:r>
          </w:p>
          <w:p w:rsidR="00C71590" w:rsidRPr="00C71590" w:rsidRDefault="00C71590" w:rsidP="00C71590">
            <w:pPr>
              <w:ind w:left="21" w:hanging="129"/>
              <w:jc w:val="center"/>
            </w:pPr>
            <w:r w:rsidRPr="00C71590">
              <w:t xml:space="preserve">    або 14,0%</w:t>
            </w:r>
          </w:p>
        </w:tc>
      </w:tr>
      <w:tr w:rsidR="00C71590" w:rsidRPr="00C71590" w:rsidTr="002F34D0">
        <w:trPr>
          <w:trHeight w:val="135"/>
        </w:trPr>
        <w:tc>
          <w:tcPr>
            <w:tcW w:w="3423" w:type="dxa"/>
          </w:tcPr>
          <w:p w:rsidR="00C71590" w:rsidRPr="00C71590" w:rsidRDefault="00C71590" w:rsidP="00C71590">
            <w:pPr>
              <w:ind w:left="21" w:firstLine="539"/>
              <w:jc w:val="both"/>
            </w:pPr>
            <w:r w:rsidRPr="00C71590">
              <w:t>Фактично направлено з міського бюджету</w:t>
            </w:r>
          </w:p>
        </w:tc>
        <w:tc>
          <w:tcPr>
            <w:tcW w:w="1560" w:type="dxa"/>
            <w:vAlign w:val="center"/>
          </w:tcPr>
          <w:p w:rsidR="00C71590" w:rsidRPr="00C71590" w:rsidRDefault="00C71590" w:rsidP="00C71590">
            <w:pPr>
              <w:ind w:left="21" w:firstLine="539"/>
              <w:jc w:val="center"/>
            </w:pPr>
            <w:r w:rsidRPr="00C71590">
              <w:t>6758,7</w:t>
            </w:r>
          </w:p>
        </w:tc>
        <w:tc>
          <w:tcPr>
            <w:tcW w:w="1842" w:type="dxa"/>
            <w:vAlign w:val="center"/>
          </w:tcPr>
          <w:p w:rsidR="00C71590" w:rsidRPr="00C71590" w:rsidRDefault="00C71590" w:rsidP="00C71590">
            <w:pPr>
              <w:ind w:left="21" w:firstLine="539"/>
              <w:jc w:val="center"/>
            </w:pPr>
            <w:r w:rsidRPr="00C71590">
              <w:t>7990,6</w:t>
            </w:r>
          </w:p>
        </w:tc>
        <w:tc>
          <w:tcPr>
            <w:tcW w:w="2505" w:type="dxa"/>
            <w:vAlign w:val="center"/>
          </w:tcPr>
          <w:p w:rsidR="00C71590" w:rsidRPr="00C71590" w:rsidRDefault="00C71590" w:rsidP="00C71590">
            <w:pPr>
              <w:ind w:left="21" w:firstLine="539"/>
              <w:jc w:val="center"/>
            </w:pPr>
            <w:r w:rsidRPr="00C71590">
              <w:t>+1231,9 тис.грн.,</w:t>
            </w:r>
          </w:p>
          <w:p w:rsidR="00C71590" w:rsidRPr="00C71590" w:rsidRDefault="00C71590" w:rsidP="00C71590">
            <w:pPr>
              <w:ind w:left="21" w:firstLine="539"/>
              <w:jc w:val="center"/>
            </w:pPr>
            <w:r w:rsidRPr="00C71590">
              <w:t>або 18,2%</w:t>
            </w:r>
          </w:p>
        </w:tc>
      </w:tr>
    </w:tbl>
    <w:p w:rsidR="00C71590" w:rsidRPr="00C71590" w:rsidRDefault="00C71590" w:rsidP="00C71590">
      <w:pPr>
        <w:widowControl w:val="0"/>
        <w:tabs>
          <w:tab w:val="left" w:pos="5940"/>
          <w:tab w:val="left" w:pos="6120"/>
        </w:tabs>
        <w:ind w:firstLine="540"/>
        <w:jc w:val="both"/>
      </w:pPr>
      <w:r w:rsidRPr="00C71590">
        <w:t xml:space="preserve"> По спеціальному фонду касові видатки склали 75676,8 тис.грн., що становить 88,6 відс. від уточнених річних призначень, з них: 1) за рахунок власних надходжень касові видатки склали </w:t>
      </w:r>
      <w:r w:rsidRPr="00C71590">
        <w:rPr>
          <w:lang w:val="ru-RU"/>
        </w:rPr>
        <w:t>33625,7</w:t>
      </w:r>
      <w:r w:rsidRPr="00C71590">
        <w:t xml:space="preserve"> тис.грн., що становить </w:t>
      </w:r>
      <w:r w:rsidRPr="00C71590">
        <w:rPr>
          <w:lang w:val="ru-RU"/>
        </w:rPr>
        <w:t>92,1</w:t>
      </w:r>
      <w:r w:rsidRPr="00C71590">
        <w:t xml:space="preserve"> відс. до уточнених річних призначень, в тому числі: на оплату праці з нарахуваннями  направлено 7744,9 тис.грн., що складає 94,6 відс. до уточнених річних призначень; на оплату предметів, матеріалів, обладнання та інвентарю – 7554,0 тис.грн., що складає 96,0 відс. до уточнених річних призначень; на придбання продуктів харчування – 12049,0 тис.грн., або 89,8 відс. до уточнених річних призначень; на оплату комунальних послуг та енергоносіїв – 1054,8 тис.грн., або 78,0 відс. до уточнених річних призначень;  на медикаменти та перев</w:t>
      </w:r>
      <w:r w:rsidRPr="00C71590">
        <w:rPr>
          <w:lang w:val="ru-RU"/>
        </w:rPr>
        <w:t>’</w:t>
      </w:r>
      <w:r w:rsidRPr="00C71590">
        <w:t xml:space="preserve">язувальні матеріали – 2,7 тис.грн., або 93,1 відс. до уточнених річних призначень; на оплату послуг (крім комунальних) – 959,6 тис.грн., або 92,2 відс.; на капітальні видатки направлено – 45990,5 тис.грн., або 86,5 відс. до </w:t>
      </w:r>
      <w:r w:rsidRPr="00C71590">
        <w:lastRenderedPageBreak/>
        <w:t xml:space="preserve">уточнених річних призначень; інші – 321,3 тис.грн., або 92,3 відс. до уточнених річних призначень; 2) за рахунок бюджету розвитку  касові видатки склали 42051,1 тис.грн., що становить 86,0 відс. від уточнених річних призначень, в тому числі на: придбання обладнання і предметів довгострокового користування – </w:t>
      </w:r>
      <w:r w:rsidRPr="00C71590">
        <w:rPr>
          <w:lang w:val="ru-RU"/>
        </w:rPr>
        <w:t>4029</w:t>
      </w:r>
      <w:r w:rsidRPr="00C71590">
        <w:t xml:space="preserve">,5 тис.грн., що складає 98,3 відс. до уточненого плану на рік; капітальний ремонт – 38021,6 тис.грн., що складає 84,9 відс. до уточнених річних призначень. </w:t>
      </w:r>
    </w:p>
    <w:p w:rsidR="00C71590" w:rsidRPr="00C71590" w:rsidRDefault="00C71590" w:rsidP="00C71590">
      <w:pPr>
        <w:widowControl w:val="0"/>
        <w:tabs>
          <w:tab w:val="left" w:pos="5940"/>
          <w:tab w:val="left" w:pos="6120"/>
        </w:tabs>
        <w:ind w:firstLine="540"/>
        <w:jc w:val="both"/>
      </w:pPr>
      <w:r w:rsidRPr="00C71590">
        <w:t xml:space="preserve">Залишок </w:t>
      </w:r>
      <w:r w:rsidRPr="00C71590">
        <w:rPr>
          <w:lang w:val="ru-RU"/>
        </w:rPr>
        <w:t xml:space="preserve">невикористаної </w:t>
      </w:r>
      <w:r w:rsidRPr="00C71590">
        <w:t xml:space="preserve">освітньої субвенції на кінець бюджетного періоду склав 2200,9 тис.грн.  </w:t>
      </w:r>
    </w:p>
    <w:p w:rsidR="00C71590" w:rsidRPr="00C71590" w:rsidRDefault="00C71590" w:rsidP="00C71590">
      <w:pPr>
        <w:widowControl w:val="0"/>
        <w:ind w:firstLine="567"/>
        <w:jc w:val="both"/>
        <w:rPr>
          <w:highlight w:val="yellow"/>
        </w:rPr>
      </w:pPr>
      <w:r w:rsidRPr="00C71590">
        <w:t>Кредиторська заборгованість по загальному фонду станом на 01.01.2016 року порівнянні з початком року зменшилась на 5908,5 тис.грн. та складає 0,5 тис.грн.  по оплаті послуг (крім комунальних).</w:t>
      </w:r>
    </w:p>
    <w:p w:rsidR="00C71590" w:rsidRPr="00C71590" w:rsidRDefault="00C71590" w:rsidP="00C71590">
      <w:pPr>
        <w:ind w:firstLine="540"/>
        <w:jc w:val="both"/>
      </w:pPr>
      <w:r w:rsidRPr="00C71590">
        <w:t>Дебіторська заборгованість по загальному фонду станом на 01.0</w:t>
      </w:r>
      <w:r w:rsidRPr="00C71590">
        <w:rPr>
          <w:lang w:val="ru-RU"/>
        </w:rPr>
        <w:t>1</w:t>
      </w:r>
      <w:r w:rsidRPr="00C71590">
        <w:t>.2016 року відсутня.</w:t>
      </w:r>
    </w:p>
    <w:p w:rsidR="00C71590" w:rsidRPr="00C71590" w:rsidRDefault="00C71590" w:rsidP="00C71590">
      <w:pPr>
        <w:ind w:firstLine="540"/>
        <w:jc w:val="both"/>
      </w:pPr>
      <w:r w:rsidRPr="00C71590">
        <w:t>Кредиторська заборгованість по спеціальному фонду станом на 01.01.2016 року відсутня.</w:t>
      </w:r>
    </w:p>
    <w:p w:rsidR="00C71590" w:rsidRPr="00C71590" w:rsidRDefault="00C71590" w:rsidP="00C71590">
      <w:pPr>
        <w:ind w:firstLine="540"/>
        <w:jc w:val="both"/>
      </w:pPr>
      <w:r w:rsidRPr="00C71590">
        <w:t>Дебіторська заборгованість по спеціальному фонду станом на 01.01.2016 року в  порівнянні з початком року залишилась на тому ж рівні і становить 364,5 тис.грн., в тому числі прострочена кредиторська заборгованість становить 299,0 тис.грн. -  невідпрацьовані аванси на капітальний ремонт приміщень (заміна вікон) по бюджету розвитку (по заміні вікон в ДНЗ № 13, 69 – 65,5 тис.грн.; по капремонту покрівлі та частковій заміні вікон СШ №17 - 299,0 тис.грн.).</w:t>
      </w:r>
    </w:p>
    <w:p w:rsidR="00C71590" w:rsidRPr="00C71590" w:rsidRDefault="00C71590" w:rsidP="00C71590">
      <w:pPr>
        <w:ind w:firstLine="540"/>
        <w:jc w:val="both"/>
      </w:pPr>
    </w:p>
    <w:p w:rsidR="00C71590" w:rsidRPr="00C71590" w:rsidRDefault="00C71590" w:rsidP="00C71590">
      <w:pPr>
        <w:jc w:val="center"/>
        <w:rPr>
          <w:b/>
          <w:i/>
          <w:sz w:val="26"/>
          <w:szCs w:val="26"/>
          <w:u w:val="single"/>
        </w:rPr>
      </w:pPr>
      <w:r w:rsidRPr="00C71590">
        <w:rPr>
          <w:b/>
          <w:i/>
          <w:sz w:val="26"/>
          <w:szCs w:val="26"/>
          <w:u w:val="single"/>
        </w:rPr>
        <w:t xml:space="preserve">КТКВК 080000 Охорона здоров’я </w:t>
      </w:r>
    </w:p>
    <w:p w:rsidR="00C71590" w:rsidRDefault="00C71590" w:rsidP="00C71590">
      <w:pPr>
        <w:widowControl w:val="0"/>
        <w:ind w:firstLine="539"/>
        <w:jc w:val="both"/>
        <w:rPr>
          <w:sz w:val="22"/>
          <w:szCs w:val="22"/>
        </w:rPr>
      </w:pPr>
      <w:r w:rsidRPr="00C71590">
        <w:t xml:space="preserve">На утримання 15 закладів охорони здоров’я в 2015 році з міського бюджету спрямовано </w:t>
      </w:r>
      <w:r w:rsidRPr="00C71590">
        <w:rPr>
          <w:bCs/>
          <w:iCs/>
        </w:rPr>
        <w:t>278622,2 тис.грн., або 98,5 відс. до річного плану з урахуванням змін, у т.ч. по загальному фонду – 241933,6 тис.грн., або 98,8 відс. до річного плану з урахуванням змін, з них: субвенції з обласного бюджету – 74,4 тис.грн.,  медичної субвенції з державного бюджету – 189715,7 тис.грн.,  стабілізаційна дотація з державного бюджету – 2039,8 тис.грн.</w:t>
      </w:r>
      <w:r w:rsidRPr="00C71590">
        <w:t xml:space="preserve"> </w:t>
      </w:r>
      <w:r w:rsidRPr="00C71590">
        <w:rPr>
          <w:bCs/>
          <w:iCs/>
        </w:rPr>
        <w:t xml:space="preserve"> та коштів міського бюджету – 50103,7 тис.грн.,  та спеціальному фонду – 36688,6 тис.грн. За загальним фондом фінансування галузі протягом звітного періоду 2015 року збільшено у порівнянні із відповідним періодом минулого року </w:t>
      </w:r>
      <w:r w:rsidRPr="00C71590">
        <w:t xml:space="preserve"> на 44754,9 тис.грн., або на 22,7 відс</w:t>
      </w:r>
      <w:r w:rsidRPr="00C71590">
        <w:rPr>
          <w:sz w:val="22"/>
          <w:szCs w:val="22"/>
        </w:rPr>
        <w:t xml:space="preserve">. </w:t>
      </w:r>
    </w:p>
    <w:p w:rsidR="00C71590" w:rsidRPr="00C71590" w:rsidRDefault="00C71590" w:rsidP="00C71590">
      <w:pPr>
        <w:widowControl w:val="0"/>
        <w:ind w:firstLine="539"/>
        <w:jc w:val="both"/>
        <w:rPr>
          <w:sz w:val="22"/>
          <w:szCs w:val="22"/>
        </w:rPr>
      </w:pPr>
      <w:r>
        <w:rPr>
          <w:noProof/>
          <w:sz w:val="22"/>
          <w:szCs w:val="22"/>
          <w:lang w:val="ru-RU"/>
        </w:rPr>
        <w:drawing>
          <wp:inline distT="0" distB="0" distL="0" distR="0" wp14:anchorId="43F88493">
            <wp:extent cx="6219190" cy="3295015"/>
            <wp:effectExtent l="0" t="0" r="0" b="63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9190" cy="3295015"/>
                    </a:xfrm>
                    <a:prstGeom prst="rect">
                      <a:avLst/>
                    </a:prstGeom>
                    <a:noFill/>
                  </pic:spPr>
                </pic:pic>
              </a:graphicData>
            </a:graphic>
          </wp:inline>
        </w:drawing>
      </w:r>
    </w:p>
    <w:p w:rsidR="00C71590" w:rsidRPr="00C71590" w:rsidRDefault="00C71590" w:rsidP="00C71590">
      <w:pPr>
        <w:tabs>
          <w:tab w:val="left" w:pos="4536"/>
          <w:tab w:val="left" w:pos="5670"/>
          <w:tab w:val="left" w:pos="5812"/>
        </w:tabs>
        <w:ind w:firstLine="540"/>
        <w:jc w:val="both"/>
        <w:rPr>
          <w:bCs/>
        </w:rPr>
      </w:pPr>
      <w:r w:rsidRPr="00C71590">
        <w:t>На оплату праці і нарахування на заробітну плату в 2015 році спрямовано</w:t>
      </w:r>
      <w:r w:rsidRPr="00C71590">
        <w:rPr>
          <w:bCs/>
        </w:rPr>
        <w:t xml:space="preserve"> 190831,4</w:t>
      </w:r>
      <w:r w:rsidRPr="00C71590">
        <w:rPr>
          <w:bCs/>
          <w:iCs/>
        </w:rPr>
        <w:t xml:space="preserve"> тис.грн., або 100,0 відс. до уточненого річного плану</w:t>
      </w:r>
      <w:r w:rsidRPr="00C71590">
        <w:t>, у т.ч. за рахунок медичної субвенції з державного бюджету</w:t>
      </w:r>
      <w:r w:rsidRPr="00C71590">
        <w:rPr>
          <w:bCs/>
        </w:rPr>
        <w:t xml:space="preserve"> – 146223,6 тис.грн. та коштів міського бюджету – 44607,8 тис.грн. В порівнянні з минулим роком видатки на </w:t>
      </w:r>
      <w:r w:rsidRPr="00C71590">
        <w:t>оплату праці і нарахування на заробітну плату</w:t>
      </w:r>
      <w:r w:rsidRPr="00C71590">
        <w:rPr>
          <w:bCs/>
        </w:rPr>
        <w:t xml:space="preserve"> збільшились на 35000,2 тис.грн., або на 22,5 відс. </w:t>
      </w:r>
      <w:r w:rsidRPr="00C71590">
        <w:t xml:space="preserve">Значне збільшення пов’язано із стрімким </w:t>
      </w:r>
      <w:r w:rsidRPr="00C71590">
        <w:lastRenderedPageBreak/>
        <w:t xml:space="preserve">ростом індексації заробітної плати працівникам бюджетної сфери, збільшенням із 1 вересня 2015 року рівня мінімальної заробітної плати та із 1 грудня 2015 року </w:t>
      </w:r>
      <w:r w:rsidRPr="00C71590">
        <w:rPr>
          <w:color w:val="262626"/>
          <w:shd w:val="clear" w:color="auto" w:fill="FFFFFF"/>
        </w:rPr>
        <w:t>збільшення розміру посадового окладу працівника 1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w:t>
      </w:r>
      <w:r w:rsidRPr="00C71590">
        <w:rPr>
          <w:bCs/>
        </w:rPr>
        <w:t xml:space="preserve">, та </w:t>
      </w:r>
      <w:r w:rsidRPr="00C71590">
        <w:t xml:space="preserve">зміною статусу та фінансуванням КНП «П’ята Черкаська міська поліклініка» як розпорядника коштів міського бюджету з </w:t>
      </w:r>
      <w:r w:rsidRPr="00C71590">
        <w:rPr>
          <w:lang w:val="en-US"/>
        </w:rPr>
        <w:t>II</w:t>
      </w:r>
      <w:r w:rsidRPr="00C71590">
        <w:t xml:space="preserve"> півріччя 2015 року</w:t>
      </w:r>
      <w:r w:rsidRPr="00C71590">
        <w:rPr>
          <w:bCs/>
        </w:rPr>
        <w:t xml:space="preserve">. Питома вага видатків на </w:t>
      </w:r>
      <w:r w:rsidRPr="00C71590">
        <w:t>оплату праці і нарахування на заробітну плату</w:t>
      </w:r>
      <w:r w:rsidRPr="00C71590">
        <w:rPr>
          <w:bCs/>
        </w:rPr>
        <w:t xml:space="preserve"> в загальному обсязі видатків на галузь складає 78,9 відс.</w:t>
      </w:r>
    </w:p>
    <w:p w:rsidR="00C71590" w:rsidRPr="00C71590" w:rsidRDefault="00C71590" w:rsidP="00C71590">
      <w:pPr>
        <w:tabs>
          <w:tab w:val="left" w:pos="4536"/>
          <w:tab w:val="left" w:pos="5670"/>
          <w:tab w:val="left" w:pos="5812"/>
        </w:tabs>
        <w:ind w:firstLine="540"/>
        <w:jc w:val="both"/>
        <w:rPr>
          <w:bCs/>
        </w:rPr>
      </w:pPr>
      <w:r w:rsidRPr="00C71590">
        <w:t>Штатна чисельність працівників галузі протягом року зменшилась на 25 щт.од. та станом на 01.01.2016 року  складає 4967,5,5 од. (станом на 01.01.2015 – 4992,5 од.), відповідно фактично зайнята чисельність зменшилась на 7 од. та складає 4903,25 од. (станом на 01.01.2015 – 4903,25 од.). Середньомісячна фактично зайнята чисельність по загальному фонду за рік становить 4894,0 шт.од.</w:t>
      </w:r>
    </w:p>
    <w:p w:rsidR="00C71590" w:rsidRPr="00C71590" w:rsidRDefault="00C71590" w:rsidP="00C71590">
      <w:pPr>
        <w:ind w:firstLine="540"/>
        <w:jc w:val="both"/>
      </w:pPr>
      <w:r w:rsidRPr="00C71590">
        <w:rPr>
          <w:bCs/>
        </w:rPr>
        <w:t>На придбання медикаментів та перев’язувальних матеріалів</w:t>
      </w:r>
      <w:r w:rsidRPr="00C71590">
        <w:rPr>
          <w:b/>
          <w:bCs/>
        </w:rPr>
        <w:t xml:space="preserve"> </w:t>
      </w:r>
      <w:r w:rsidRPr="00C71590">
        <w:rPr>
          <w:bCs/>
        </w:rPr>
        <w:t>в</w:t>
      </w:r>
      <w:r w:rsidRPr="00C71590">
        <w:t xml:space="preserve"> 2015 році спрямовано</w:t>
      </w:r>
      <w:r w:rsidRPr="00C71590">
        <w:rPr>
          <w:bCs/>
        </w:rPr>
        <w:t xml:space="preserve"> </w:t>
      </w:r>
      <w:r w:rsidRPr="00C71590">
        <w:t xml:space="preserve">13626,7 тис.грн., що становить 98,8 відс. до уточненого плану на рік, в т.ч. за рахунок медичної субвенції з державного бюджету – 8706,1 тис.грн., коштів міського бюджету – 4920,6 тис.грн., з них на реалізацію: Програми забезпечення замісною ферментотерапією хворих на муковісцидоз та біологічною терапією препаратами вибору дітей, хворих на ЮРА – 254,1 тис.грн. (92,6 відс. до уточнених річних планових призначень); Програми «Репродуктивне здоров’я» - 2324,8 тис.грн. (100,0 відс. до уточнених річних планових призначень); Програми забезпечення лікувальним харчуванням тяжкохворих та дітей віком від 3 до 18 років, хворих на фенілкетонурію - 1092,1 тис.грн. (97,9 відс. до уточнених річних планових призначень); Програми забезпечення туберкулінодіагностикою дитячого населення міста Черкаси – 562,3 тис.грн. (100,0 відс. до уточнених річних планових призначень); Програми забезпечення інвалідів та дітей-інвалідів технічними засобами – 423,8 тис.грн. (99,9 відс. до уточнених річних планових призначень). </w:t>
      </w:r>
      <w:r w:rsidRPr="00C71590">
        <w:rPr>
          <w:bCs/>
        </w:rPr>
        <w:t>Питома вага видатків на медикаменти та перев’язувальні матеріали в загальному обсязі видатків на галузь складає 5,6 відс.</w:t>
      </w:r>
      <w:r w:rsidRPr="00C71590">
        <w:rPr>
          <w:bCs/>
          <w:iCs/>
        </w:rPr>
        <w:t xml:space="preserve"> </w:t>
      </w:r>
      <w:r w:rsidRPr="00C71590">
        <w:t>В порівнянні з минулим роком видатки на придбання</w:t>
      </w:r>
      <w:r w:rsidRPr="00C71590">
        <w:rPr>
          <w:b/>
          <w:bCs/>
        </w:rPr>
        <w:t xml:space="preserve"> </w:t>
      </w:r>
      <w:r w:rsidRPr="00C71590">
        <w:rPr>
          <w:bCs/>
        </w:rPr>
        <w:t>медикаментів та перев’язувальних матеріалів збільшились на 6081,6 тис.грн., або на 80,6 відс., у зв’язку зі збільшенням видатків на реалізацію міських цільових програм</w:t>
      </w:r>
      <w:r w:rsidRPr="00C71590">
        <w:t xml:space="preserve"> та фінансуванням КНП «П’ята Черкаська міська поліклініка» з </w:t>
      </w:r>
      <w:r w:rsidRPr="00C71590">
        <w:rPr>
          <w:lang w:val="en-US"/>
        </w:rPr>
        <w:t>II</w:t>
      </w:r>
      <w:r w:rsidRPr="00C71590">
        <w:t xml:space="preserve"> півріччя 2015 року за КЕКВ для розпорядників бюджетних коштів.    </w:t>
      </w:r>
    </w:p>
    <w:p w:rsidR="00C71590" w:rsidRPr="00C71590" w:rsidRDefault="00C71590" w:rsidP="00C71590">
      <w:pPr>
        <w:ind w:firstLine="540"/>
        <w:jc w:val="both"/>
      </w:pPr>
      <w:r w:rsidRPr="00C71590">
        <w:t>Фактична вартість 1 ліжко-дня по медикаментах збільшилась в порівнянні із попереднім роком на 1,39 грн. та склала 11,05 грн. (в 2014 році – 9,66 грн.).</w:t>
      </w:r>
      <w:r w:rsidRPr="00C71590">
        <w:rPr>
          <w:bCs/>
        </w:rPr>
        <w:t xml:space="preserve">  Фактична вартість 1 лікарського відвідування по медикаментах збільшилась на 0,27 грн. та склала 0,85 грн. </w:t>
      </w:r>
      <w:r w:rsidRPr="00C71590">
        <w:t>(в 2014 році – 0,58 грн.).</w:t>
      </w:r>
    </w:p>
    <w:p w:rsidR="00C71590" w:rsidRPr="00C71590" w:rsidRDefault="00C71590" w:rsidP="00C71590">
      <w:pPr>
        <w:ind w:firstLine="540"/>
        <w:jc w:val="both"/>
      </w:pPr>
      <w:r w:rsidRPr="00C71590">
        <w:rPr>
          <w:bCs/>
        </w:rPr>
        <w:t xml:space="preserve">На оплату продуктів харчування спрямовано </w:t>
      </w:r>
      <w:r w:rsidRPr="00C71590">
        <w:t>3621,6 тис.грн., що становить 100,0 відс. до уточненого річного плану, в т.ч.</w:t>
      </w:r>
      <w:r w:rsidRPr="00C71590">
        <w:rPr>
          <w:bCs/>
        </w:rPr>
        <w:t xml:space="preserve"> за рахунок медичної субвенції з державного бюджету – 3498,1 тис.грн. </w:t>
      </w:r>
      <w:r w:rsidRPr="00C71590">
        <w:t xml:space="preserve">та коштів міського бюджету – 123,5 тис.грн. </w:t>
      </w:r>
      <w:r w:rsidRPr="00C71590">
        <w:rPr>
          <w:bCs/>
        </w:rPr>
        <w:t xml:space="preserve">Питома вага видатків на харчування в загальному обсязі видатків на галузь складає 1,5 відс. </w:t>
      </w:r>
      <w:r w:rsidRPr="00C71590">
        <w:t>В порівнянні з відповідним періодом минулого року видатки на придбання</w:t>
      </w:r>
      <w:r w:rsidRPr="00C71590">
        <w:rPr>
          <w:b/>
          <w:bCs/>
        </w:rPr>
        <w:t xml:space="preserve"> </w:t>
      </w:r>
      <w:r w:rsidRPr="00C71590">
        <w:rPr>
          <w:bCs/>
        </w:rPr>
        <w:t>продуктів харчування збільшились на 745,1 тис.грн., або на 25,9 відс.,</w:t>
      </w:r>
      <w:r w:rsidRPr="00C71590">
        <w:t xml:space="preserve"> в зв’язку із підвищенням закупівельних цін на основні продовольчі товари.</w:t>
      </w:r>
    </w:p>
    <w:p w:rsidR="00C71590" w:rsidRPr="00C71590" w:rsidRDefault="00C71590" w:rsidP="00C71590">
      <w:pPr>
        <w:ind w:firstLine="540"/>
        <w:jc w:val="both"/>
        <w:rPr>
          <w:bCs/>
        </w:rPr>
      </w:pPr>
      <w:r w:rsidRPr="00C71590">
        <w:t>Фактична вартість 1 ліжко-дня по харчуванню збільшилась в порівнянні із попереднім роком на 0,46 грн. та склала 5,50 грн.</w:t>
      </w:r>
      <w:r w:rsidRPr="00C71590">
        <w:rPr>
          <w:bCs/>
        </w:rPr>
        <w:t xml:space="preserve"> </w:t>
      </w:r>
      <w:r w:rsidRPr="00C71590">
        <w:t>(в 2014 році – 5,04 грн.).</w:t>
      </w:r>
      <w:r w:rsidRPr="00C71590">
        <w:rPr>
          <w:bCs/>
        </w:rPr>
        <w:t xml:space="preserve">  </w:t>
      </w:r>
    </w:p>
    <w:p w:rsidR="00C71590" w:rsidRPr="00C71590" w:rsidRDefault="00C71590" w:rsidP="00C71590">
      <w:pPr>
        <w:ind w:firstLine="540"/>
        <w:jc w:val="both"/>
        <w:rPr>
          <w:bCs/>
          <w:iCs/>
        </w:rPr>
      </w:pPr>
      <w:r w:rsidRPr="00C71590">
        <w:rPr>
          <w:bCs/>
        </w:rPr>
        <w:t xml:space="preserve">На оплату комунальних послуг та енергоносіїв спрямовано </w:t>
      </w:r>
      <w:r w:rsidRPr="00C71590">
        <w:t xml:space="preserve">22485,9 тис.грн., або 90,5 відс. до уточненого плану на рік, у т.ч. за рахунок медичної субвенції з державного бюджету – 21853,2 тис.грн., коштів міського бюджету – 632,7 тис.грн. (з них на погашення кредиторської заборгованості за 2014 рік – 114,7 тис.грн.). В порівнянні з відповідним періодом минулого року видатки на оплату комунальних послуг та енергоносіїв збільшилися на 5156,8 тис.грн., або на 29,8 відс. внаслідок 1) підвищення тарифів на теплопостачання (КП ТМ «Черкаситеплокомуненерго» - у 2,1 рази, ВП «Черкаська ТЕЦ» - на 13,0 відс.), на водопостачання та водовідведення - на 22,5 відс., на електроенергію - на 22,0 відс.; 2) з 1 вересня 2014 року було введено тариф із послуги централізованого постачання гарячої води (лише по КПТМ «Чераситеплокомуненерго»); 3) в зв’язку із фінансуванням КНП «П’ята </w:t>
      </w:r>
      <w:r w:rsidRPr="00C71590">
        <w:lastRenderedPageBreak/>
        <w:t xml:space="preserve">Черкаська міська поліклініка» з </w:t>
      </w:r>
      <w:r w:rsidRPr="00C71590">
        <w:rPr>
          <w:lang w:val="en-US"/>
        </w:rPr>
        <w:t>II</w:t>
      </w:r>
      <w:r w:rsidRPr="00C71590">
        <w:t xml:space="preserve"> півріччя 2015 року за КЕКВ для розпорядників бюджетних коштів. </w:t>
      </w:r>
      <w:r w:rsidRPr="00C71590">
        <w:rPr>
          <w:bCs/>
        </w:rPr>
        <w:t>Питома вага видатків на оплату комунальних послуг та енергоносіїв в загальному обсязі видатків на галузь складає 9,3 відс.</w:t>
      </w:r>
    </w:p>
    <w:p w:rsidR="00C71590" w:rsidRPr="00C71590" w:rsidRDefault="00C71590" w:rsidP="00C71590">
      <w:pPr>
        <w:widowControl w:val="0"/>
        <w:ind w:firstLine="540"/>
        <w:jc w:val="both"/>
        <w:rPr>
          <w:lang w:eastAsia="x-none"/>
        </w:rPr>
      </w:pPr>
      <w:r w:rsidRPr="00C71590">
        <w:rPr>
          <w:bCs/>
          <w:lang w:eastAsia="x-none"/>
        </w:rPr>
        <w:t>На соціальне забезпечення за</w:t>
      </w:r>
      <w:r w:rsidRPr="00C71590">
        <w:rPr>
          <w:lang w:eastAsia="x-none"/>
        </w:rPr>
        <w:t xml:space="preserve"> 2015 рік </w:t>
      </w:r>
      <w:r w:rsidRPr="00C71590">
        <w:rPr>
          <w:bCs/>
          <w:lang w:eastAsia="x-none"/>
        </w:rPr>
        <w:t xml:space="preserve">спрямовано за рахунок медичної субвенції з державного бюджету </w:t>
      </w:r>
      <w:r w:rsidRPr="00C71590">
        <w:rPr>
          <w:lang w:eastAsia="x-none"/>
        </w:rPr>
        <w:t xml:space="preserve">1398,2 тис.грн., що становить </w:t>
      </w:r>
      <w:r w:rsidRPr="00C71590">
        <w:rPr>
          <w:bCs/>
          <w:iCs/>
          <w:lang w:eastAsia="x-none"/>
        </w:rPr>
        <w:t>95,3 відс. до уточненого плану на рік</w:t>
      </w:r>
      <w:r w:rsidRPr="00C71590">
        <w:rPr>
          <w:lang w:eastAsia="x-none"/>
        </w:rPr>
        <w:t>, в тому числі на: виплату пільгових пенсій спрямовано 689,3 тис.грн.; інші виплати населенню (оплату пільгового зубопротезування) – 709,0 тис.грн. В порівнянні із відповідним періодом минулого року видатки збільшились на 14,4 тис.грн., або на 1,0 відс., в т.ч.: видатки по пільгових пенсіях зменшились на 67,7 тис.грн., або на 8,9 відс.; по пільговому зубопротезуванню збільшились на 82,1 тис.грн., або на 13,1 відс.</w:t>
      </w:r>
      <w:r w:rsidRPr="00C71590">
        <w:rPr>
          <w:bCs/>
          <w:lang w:eastAsia="x-none"/>
        </w:rPr>
        <w:t xml:space="preserve"> Питома вага видатків на соціальне забезпечення в загальному обсязі видатків на галузь складає 0,6 відс.</w:t>
      </w:r>
    </w:p>
    <w:p w:rsidR="00C71590" w:rsidRPr="00C71590" w:rsidRDefault="00C71590" w:rsidP="00C71590">
      <w:pPr>
        <w:ind w:firstLine="540"/>
        <w:jc w:val="both"/>
        <w:rPr>
          <w:bCs/>
          <w:iCs/>
        </w:rPr>
      </w:pPr>
      <w:r w:rsidRPr="00C71590">
        <w:t xml:space="preserve">На інші поточні видатки за 2015 рік спрямовано 9969,8 тис.грн., що становить </w:t>
      </w:r>
      <w:r w:rsidRPr="00C71590">
        <w:rPr>
          <w:bCs/>
          <w:iCs/>
        </w:rPr>
        <w:t>96,4 відс. до уточненого плану на рік</w:t>
      </w:r>
      <w:r w:rsidRPr="00C71590">
        <w:t>, в тому числі за рахунок медичної субвенції з державного бюджету – 8036,5 тис.грн., субвенцій з обласного бюджету на соціально-економічний розвиток регіонів (з урахуванням погашення кредиторської заборгованості) – 74,4 тис.грн. (придбання обладнання, будівельних матеріалів для ремонту приміщень Черкаської міської дитячої лікарні) та коштів міського бюджету – 1858,8 тис.грн., з них на реалізацію: Програми забезпечення діагностики невідкладних станів на комп’ютерному томографі – 809,5 тис.грн. (91,1 відс. до річних планових призначень); Програми забезпечення замісною ферментотерапією хворих на муковісцидоз та біологічною терапією препаратами вибору дітей, хворих на ЮРА – 30,7 тис.грн. (100,0 відс. до річних планових призначень); Програми розвитку паліативної допомоги у м.Черкаси – 128,9 тис.грн. (100,0 відс. до річних планових призначень). В порівнянні із відповідним періодом минулого року інші поточні видатки</w:t>
      </w:r>
      <w:r w:rsidRPr="00C71590">
        <w:rPr>
          <w:bCs/>
        </w:rPr>
        <w:t xml:space="preserve"> зменшилися на 2243,2 тис.грн., або на 18,4 відс.,</w:t>
      </w:r>
      <w:r w:rsidRPr="00C71590">
        <w:t xml:space="preserve"> у зв’язку зі зміною статусу та фінансуванням КНП «П’ята Черкаська міська поліклініка» з </w:t>
      </w:r>
      <w:r w:rsidRPr="00C71590">
        <w:rPr>
          <w:lang w:val="en-US"/>
        </w:rPr>
        <w:t>II</w:t>
      </w:r>
      <w:r w:rsidRPr="00C71590">
        <w:t xml:space="preserve"> півріччя 2015 року за КЕКВ для розпорядників бюджетних коштів.</w:t>
      </w:r>
      <w:r w:rsidRPr="00C71590">
        <w:rPr>
          <w:bCs/>
        </w:rPr>
        <w:t xml:space="preserve"> Питома вага інших поточних видатків в загальному обсязі видатків на галузь складає 4,1 відс.</w:t>
      </w:r>
    </w:p>
    <w:p w:rsidR="00C71590" w:rsidRPr="00C71590" w:rsidRDefault="00C71590" w:rsidP="00C71590">
      <w:pPr>
        <w:ind w:firstLine="540"/>
        <w:jc w:val="both"/>
        <w:rPr>
          <w:highlight w:val="yellow"/>
        </w:rPr>
      </w:pPr>
      <w:r w:rsidRPr="00C71590">
        <w:t xml:space="preserve"> Видатки спеціального фонду </w:t>
      </w:r>
      <w:r w:rsidRPr="00C71590">
        <w:rPr>
          <w:bCs/>
          <w:iCs/>
        </w:rPr>
        <w:t>за</w:t>
      </w:r>
      <w:r w:rsidRPr="00C71590">
        <w:t xml:space="preserve"> </w:t>
      </w:r>
      <w:r w:rsidRPr="00C71590">
        <w:rPr>
          <w:bCs/>
          <w:iCs/>
        </w:rPr>
        <w:t>2015 рік</w:t>
      </w:r>
      <w:r w:rsidRPr="00C71590">
        <w:t xml:space="preserve"> склали 36688,6 тис.грн., або 96,6 відс. до уточненого плану на рік, з них: 1) за рахунок власних надходжень касові видатки склали 17898,3 тис.грн., або 94,7 відс. до уточненого плану на рік, у т.ч. на: оплату праці і нарахування на заробітну плату спрямовано 4855,1 тис.грн., або 98,9 відс.; придбання медикаментів та перев’язувальних матеріалів – 6093,2 тис.грн., або 99,1 відс.; придбання продуктів харчування – 333,7 тис.грн., або 98,1 відс.; оплату комунальних послуг та енергоносіїв – 771,4 тис.грн., або 79,5 відс.; придбання предметів постачання і матеріалів, оплату послуг та інші поточні видатки – 4942,8 тис.грн., або 88,4 відс.; капітальні видатки – 902,1 тис.грн., або 96,9 відс. (видатки на придбання обладнання і предметів довгострокового використання та проведення капітального ремонту); </w:t>
      </w:r>
      <w:r w:rsidRPr="00C71590">
        <w:rPr>
          <w:lang w:val="ru-RU"/>
        </w:rPr>
        <w:t xml:space="preserve"> </w:t>
      </w:r>
      <w:r w:rsidRPr="00C71590">
        <w:t xml:space="preserve">2) за рахунок бюджету розвитку касові видатки склали 18790,3 тис.грн., або 98,4 відс. до уточненого річного плану – це видатки на придбання обладнання і предметів довгострокового використання, капітальний ремонт закладів охорони здоров’я та капітальні трансферти установам, організаціям. </w:t>
      </w:r>
    </w:p>
    <w:p w:rsidR="00C71590" w:rsidRPr="00C71590" w:rsidRDefault="00C71590" w:rsidP="00C71590">
      <w:pPr>
        <w:ind w:firstLine="540"/>
        <w:jc w:val="both"/>
      </w:pPr>
      <w:r w:rsidRPr="00C71590">
        <w:t>Дебіторська заборгованість по загальному фонду станом на 01.01.2016 року відсутня.</w:t>
      </w:r>
    </w:p>
    <w:p w:rsidR="00C71590" w:rsidRPr="00C71590" w:rsidRDefault="00C71590" w:rsidP="00C71590">
      <w:pPr>
        <w:ind w:firstLine="540"/>
        <w:jc w:val="both"/>
      </w:pPr>
      <w:r w:rsidRPr="00C71590">
        <w:t>Кредиторська заборгованість по галузі «Охорона здоров’я» по загальному фонду зменшилась в порівнянні з початком року на 706,1 тис.грн. і станом на 01.01.2016 склала 1,0 тис.грн. Це заборгованість по видатках на оплату праці за рахунок коштів міського бюджету, що виникла в зв’язку з поверненням коштів (аліменти) УДКСУ у м.Черкасах Черкаської області в останній операційний день року.</w:t>
      </w:r>
    </w:p>
    <w:p w:rsidR="00C71590" w:rsidRPr="00C71590" w:rsidRDefault="00C71590" w:rsidP="00C71590">
      <w:pPr>
        <w:ind w:firstLine="540"/>
        <w:jc w:val="both"/>
        <w:rPr>
          <w:lang w:val="ru-RU"/>
        </w:rPr>
      </w:pPr>
      <w:r w:rsidRPr="00C71590">
        <w:t xml:space="preserve">Дебіторська та кредиторська заборгованості по спеціальному фонду станом на 01.01.2016 року відсутні. </w:t>
      </w:r>
    </w:p>
    <w:p w:rsidR="00C71590" w:rsidRPr="00C71590" w:rsidRDefault="00C71590" w:rsidP="00C71590">
      <w:pPr>
        <w:jc w:val="center"/>
        <w:rPr>
          <w:b/>
          <w:i/>
          <w:iCs/>
          <w:highlight w:val="yellow"/>
          <w:u w:val="single"/>
          <w:lang w:eastAsia="x-none"/>
        </w:rPr>
      </w:pPr>
    </w:p>
    <w:p w:rsidR="00C71590" w:rsidRPr="00C71590" w:rsidRDefault="00C71590" w:rsidP="00C71590">
      <w:pPr>
        <w:jc w:val="center"/>
        <w:rPr>
          <w:b/>
          <w:i/>
          <w:iCs/>
          <w:u w:val="single"/>
          <w:lang w:eastAsia="x-none"/>
        </w:rPr>
      </w:pPr>
      <w:r w:rsidRPr="00C71590">
        <w:rPr>
          <w:b/>
          <w:i/>
          <w:iCs/>
          <w:u w:val="single"/>
          <w:lang w:eastAsia="x-none"/>
        </w:rPr>
        <w:t>КТКВК 090000 Соціальний захист та соціальне забезпечення</w:t>
      </w:r>
    </w:p>
    <w:p w:rsidR="00C71590" w:rsidRPr="00C71590" w:rsidRDefault="00C71590" w:rsidP="00C71590">
      <w:pPr>
        <w:spacing w:before="120"/>
        <w:ind w:firstLine="567"/>
        <w:jc w:val="both"/>
        <w:rPr>
          <w:color w:val="FF0000"/>
          <w:lang w:eastAsia="x-none"/>
        </w:rPr>
      </w:pPr>
      <w:r w:rsidRPr="00C71590">
        <w:rPr>
          <w:lang w:eastAsia="x-none"/>
        </w:rPr>
        <w:t>На соціальний захист населення за 201</w:t>
      </w:r>
      <w:r w:rsidRPr="00C71590">
        <w:rPr>
          <w:lang w:val="ru-RU" w:eastAsia="x-none"/>
        </w:rPr>
        <w:t>5</w:t>
      </w:r>
      <w:r w:rsidRPr="00C71590">
        <w:rPr>
          <w:lang w:eastAsia="x-none"/>
        </w:rPr>
        <w:t xml:space="preserve"> рік касові видатки по загальному фонду склали  429463,4 тис.грн., або 99,3 відс. до річних призначень, по спеціальному фонду 1870,7 тис.грн, або 96,1 відс. до уточнених річних призначень.</w:t>
      </w:r>
      <w:r w:rsidRPr="00C71590">
        <w:rPr>
          <w:color w:val="FF0000"/>
          <w:lang w:eastAsia="x-none"/>
        </w:rPr>
        <w:t xml:space="preserve"> </w:t>
      </w:r>
    </w:p>
    <w:p w:rsidR="00C71590" w:rsidRPr="00C71590" w:rsidRDefault="00C71590" w:rsidP="00C71590">
      <w:pPr>
        <w:ind w:firstLine="540"/>
        <w:jc w:val="both"/>
        <w:rPr>
          <w:b/>
          <w:lang w:eastAsia="x-none"/>
        </w:rPr>
      </w:pPr>
      <w:r w:rsidRPr="00C71590">
        <w:rPr>
          <w:b/>
          <w:lang w:eastAsia="x-none"/>
        </w:rPr>
        <w:lastRenderedPageBreak/>
        <w:t>За рахунок цього розділу відбувалося відшкодування пільг та житлових субсидій населенню та допомоги сім’ям з дітьми (за рахунок субвенцій з державного бюджету України), забезпечення функціонування територіальних центрів, молодіжних закладів, реалізація програм соціального захисту і молодіжних програм. В тому числі в розрізі пільгових категорій:</w:t>
      </w:r>
    </w:p>
    <w:p w:rsidR="00C71590" w:rsidRPr="00C71590" w:rsidRDefault="00C71590" w:rsidP="00C71590">
      <w:pPr>
        <w:spacing w:before="120"/>
        <w:jc w:val="center"/>
        <w:rPr>
          <w:b/>
          <w:i/>
          <w:iCs/>
          <w:u w:val="single"/>
          <w:lang w:eastAsia="x-none"/>
        </w:rPr>
      </w:pPr>
      <w:r w:rsidRPr="00C71590">
        <w:rPr>
          <w:b/>
          <w:i/>
          <w:iCs/>
          <w:u w:val="single"/>
          <w:lang w:eastAsia="x-none"/>
        </w:rPr>
        <w:t>Субвенція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w:t>
      </w:r>
    </w:p>
    <w:p w:rsidR="00C71590" w:rsidRPr="00C71590" w:rsidRDefault="00C71590" w:rsidP="00C71590">
      <w:pPr>
        <w:spacing w:before="120"/>
        <w:jc w:val="center"/>
        <w:rPr>
          <w:b/>
          <w:i/>
          <w:iCs/>
          <w:u w:val="single"/>
          <w:lang w:eastAsia="x-none"/>
        </w:rPr>
      </w:pPr>
      <w:r w:rsidRPr="00C71590">
        <w:rPr>
          <w:b/>
          <w:i/>
          <w:iCs/>
          <w:u w:val="single"/>
          <w:lang w:eastAsia="x-none"/>
        </w:rPr>
        <w:t>(КТКВК 090201, 09020</w:t>
      </w:r>
      <w:r w:rsidRPr="00C71590">
        <w:rPr>
          <w:b/>
          <w:i/>
          <w:iCs/>
          <w:u w:val="single"/>
          <w:lang w:val="ru-RU" w:eastAsia="x-none"/>
        </w:rPr>
        <w:t>4</w:t>
      </w:r>
      <w:r w:rsidRPr="00C71590">
        <w:rPr>
          <w:b/>
          <w:i/>
          <w:iCs/>
          <w:u w:val="single"/>
          <w:lang w:eastAsia="x-none"/>
        </w:rPr>
        <w:t>, 09020</w:t>
      </w:r>
      <w:r w:rsidRPr="00C71590">
        <w:rPr>
          <w:b/>
          <w:i/>
          <w:iCs/>
          <w:u w:val="single"/>
          <w:lang w:val="ru-RU" w:eastAsia="x-none"/>
        </w:rPr>
        <w:t>7, 090215, 090405, 090407</w:t>
      </w:r>
      <w:r w:rsidRPr="00C71590">
        <w:rPr>
          <w:b/>
          <w:i/>
          <w:iCs/>
          <w:u w:val="single"/>
          <w:lang w:eastAsia="x-none"/>
        </w:rPr>
        <w:t>)</w:t>
      </w:r>
    </w:p>
    <w:p w:rsidR="00C71590" w:rsidRPr="00C71590" w:rsidRDefault="00C71590" w:rsidP="00C71590">
      <w:pPr>
        <w:tabs>
          <w:tab w:val="left" w:pos="540"/>
        </w:tabs>
        <w:spacing w:before="120"/>
        <w:ind w:firstLine="539"/>
        <w:jc w:val="both"/>
        <w:rPr>
          <w:lang w:eastAsia="x-none"/>
        </w:rPr>
      </w:pPr>
      <w:r w:rsidRPr="00C71590">
        <w:rPr>
          <w:lang w:eastAsia="x-none"/>
        </w:rPr>
        <w:t>По загальному фонду касові видатки становлять 157447,</w:t>
      </w:r>
      <w:r w:rsidRPr="00C71590">
        <w:rPr>
          <w:lang w:val="ru-RU" w:eastAsia="x-none"/>
        </w:rPr>
        <w:t>3</w:t>
      </w:r>
      <w:r w:rsidRPr="00C71590">
        <w:rPr>
          <w:lang w:eastAsia="x-none"/>
        </w:rPr>
        <w:t xml:space="preserve"> тис.грн., або 100,0 відс. до річних призначень. В порівнянні з 2014 роком видатки збільшились на 86663,7 тис.грн., або в 2,2 рази у зв’язку із підвищенням тарифів на житлово-комунальні послуги та збільшенням кількості отримувачів субсидій. </w:t>
      </w:r>
    </w:p>
    <w:p w:rsidR="00C71590" w:rsidRPr="00C71590" w:rsidRDefault="00C71590" w:rsidP="00C71590">
      <w:pPr>
        <w:tabs>
          <w:tab w:val="left" w:pos="540"/>
        </w:tabs>
        <w:ind w:firstLine="540"/>
        <w:jc w:val="both"/>
        <w:rPr>
          <w:lang w:eastAsia="x-none"/>
        </w:rPr>
      </w:pPr>
      <w:r w:rsidRPr="00C71590">
        <w:rPr>
          <w:lang w:eastAsia="x-none"/>
        </w:rPr>
        <w:t>Дебіторська заборгованість станом на 01.01.2016 становить 1,</w:t>
      </w:r>
      <w:r w:rsidRPr="00C71590">
        <w:rPr>
          <w:lang w:val="ru-RU" w:eastAsia="x-none"/>
        </w:rPr>
        <w:t>3</w:t>
      </w:r>
      <w:r w:rsidRPr="00C71590">
        <w:rPr>
          <w:lang w:eastAsia="x-none"/>
        </w:rPr>
        <w:t xml:space="preserve"> тис. грн. (КТКВК 090204), виникла через незавершені судові процеси.</w:t>
      </w:r>
    </w:p>
    <w:p w:rsidR="00C71590" w:rsidRPr="00C71590" w:rsidRDefault="00C71590" w:rsidP="00C71590">
      <w:pPr>
        <w:tabs>
          <w:tab w:val="left" w:pos="540"/>
        </w:tabs>
        <w:ind w:firstLine="540"/>
        <w:jc w:val="both"/>
        <w:rPr>
          <w:lang w:eastAsia="x-none"/>
        </w:rPr>
      </w:pPr>
      <w:r w:rsidRPr="00C71590">
        <w:rPr>
          <w:lang w:eastAsia="x-none"/>
        </w:rPr>
        <w:t xml:space="preserve">Кредиторська заборгованість станом на 01.01.2016 складає 55891,6 тис. грн. (КТКВК 090201 - 3244,3 тис. грн., КТКВК 090204 – 699,7 тис. грн., КТКВК 090207 – 488,1 тис. грн., КТКВК 090215 – 232,0 тис. грн., КТКВК 090405 – 51218,7 тис. грн., КТКВК 090407 – 8,8 тис. грн.). Виникла через непроведення платежів з КПТМ «Черкаситеплокомуненерго» по причині неузгодження актів звіряння між НАК «Нафтогаз України» та КПТМ «Черкаситеплокомуненерго», проведення в неповному обсязі клірингових розрахунків та недофінансування грошовими коштами. </w:t>
      </w:r>
    </w:p>
    <w:p w:rsidR="00C71590" w:rsidRPr="00C71590" w:rsidRDefault="00C71590" w:rsidP="00C71590">
      <w:pPr>
        <w:spacing w:before="120"/>
        <w:jc w:val="center"/>
        <w:rPr>
          <w:b/>
          <w:i/>
          <w:iCs/>
          <w:highlight w:val="yellow"/>
          <w:u w:val="single"/>
          <w:lang w:eastAsia="x-none"/>
        </w:rPr>
      </w:pPr>
      <w:r w:rsidRPr="00C71590">
        <w:rPr>
          <w:b/>
          <w:i/>
          <w:iCs/>
          <w:u w:val="single"/>
          <w:lang w:eastAsia="x-none"/>
        </w:rPr>
        <w:t>Субвенція з державного бюджету місцевим бюджетам на надання пільг з послуг зв'язку, інших передбачених законодавством пільг (крім пільг на одержання ліків, зубопротезування, оплату електроенергії, природного і скрапленого газу на побутові потреби, твердого та рідкого пічного побутового палива,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на компенсацію втрати частини доходів у зв'язку з відміною податку з власників транспортних засобів та інших самохідних машин і механізмів та відповідним збільшенням ставок акцизного податку з пального і на компенсацію за пільговий проїзд окремих категорій громадян (090203, 090209, 090214)</w:t>
      </w:r>
    </w:p>
    <w:p w:rsidR="00C71590" w:rsidRPr="00C71590" w:rsidRDefault="00C71590" w:rsidP="00C71590">
      <w:pPr>
        <w:ind w:firstLine="550"/>
        <w:jc w:val="both"/>
      </w:pPr>
      <w:r w:rsidRPr="00C71590">
        <w:t xml:space="preserve">По загальному фонду касові видатки становлять 2855,6 тис.грн., або 100,0 відс. до річних призначень. В порівнянні з 2014 роком видатки збільшились на 572,0 тис.грн., або на 25,0 відс. у зв’язку із підвищенням тарифів на телекомунікаційні послуги, вартості путівок на санаторно-курортне лікування. </w:t>
      </w:r>
    </w:p>
    <w:p w:rsidR="00C71590" w:rsidRPr="00C71590" w:rsidRDefault="00C71590" w:rsidP="00C71590">
      <w:pPr>
        <w:ind w:firstLine="550"/>
        <w:jc w:val="both"/>
      </w:pPr>
      <w:r w:rsidRPr="00C71590">
        <w:t>Дебіторська заборгованість по загальному фонду станом на 01.01.2016 відсутня.</w:t>
      </w:r>
    </w:p>
    <w:p w:rsidR="00C71590" w:rsidRPr="00C71590" w:rsidRDefault="00C71590" w:rsidP="00C71590">
      <w:pPr>
        <w:ind w:firstLine="550"/>
        <w:jc w:val="both"/>
      </w:pPr>
      <w:r w:rsidRPr="00C71590">
        <w:t>Кредиторська заборгованість по загальному фонду станом на 01.01.2016 складає 762,4 тис. грн. (КТКВК 090209 – 15,9 тис. грн., КТКВК 090214 – 746,5 тис. грн.) та виникла через недостатність кошторисних призначень на 2015 рік.</w:t>
      </w:r>
    </w:p>
    <w:p w:rsidR="00C71590" w:rsidRPr="00C71590" w:rsidRDefault="00C71590" w:rsidP="00C71590">
      <w:pPr>
        <w:ind w:firstLine="550"/>
        <w:jc w:val="both"/>
      </w:pPr>
      <w:r w:rsidRPr="00C71590">
        <w:t>Видатки спеціального фонду (КТКВК 090203) за 2015 рік склали 237,7 тис. грн., або 100 відс. до уточнених річних призначень. В порівнянні з 2014 роком видатки зменшились на 44,4 тис. грн. у зв</w:t>
      </w:r>
      <w:r w:rsidRPr="00C71590">
        <w:rPr>
          <w:lang w:val="ru-RU"/>
        </w:rPr>
        <w:t>’</w:t>
      </w:r>
      <w:r w:rsidRPr="00C71590">
        <w:t>язку із зменшенням кількості звернень.</w:t>
      </w:r>
    </w:p>
    <w:p w:rsidR="00C71590" w:rsidRPr="00C71590" w:rsidRDefault="00C71590" w:rsidP="00C71590">
      <w:pPr>
        <w:ind w:firstLine="540"/>
        <w:jc w:val="both"/>
        <w:rPr>
          <w:lang w:val="ru-RU"/>
        </w:rPr>
      </w:pPr>
      <w:r w:rsidRPr="00C71590">
        <w:t>Дебіторська та кредиторська заборгован</w:t>
      </w:r>
      <w:r w:rsidRPr="00C71590">
        <w:rPr>
          <w:lang w:val="ru-RU"/>
        </w:rPr>
        <w:t>о</w:t>
      </w:r>
      <w:r w:rsidRPr="00C71590">
        <w:t>сті по загальному фонду станом на 01.01.2016 відсутні.</w:t>
      </w:r>
    </w:p>
    <w:p w:rsidR="00C71590" w:rsidRPr="00C71590" w:rsidRDefault="00C71590" w:rsidP="00C71590">
      <w:pPr>
        <w:spacing w:before="120"/>
        <w:jc w:val="center"/>
        <w:rPr>
          <w:b/>
          <w:i/>
          <w:iCs/>
          <w:u w:val="single"/>
          <w:lang w:eastAsia="x-none"/>
        </w:rPr>
      </w:pPr>
      <w:r w:rsidRPr="00C71590">
        <w:rPr>
          <w:b/>
          <w:i/>
          <w:iCs/>
          <w:u w:val="single"/>
          <w:lang w:eastAsia="x-none"/>
        </w:rPr>
        <w:t>Субвенція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 (090202, 090208, 090216, 090406, 090414)</w:t>
      </w:r>
    </w:p>
    <w:p w:rsidR="00C71590" w:rsidRPr="00C71590" w:rsidRDefault="00C71590" w:rsidP="00C71590">
      <w:pPr>
        <w:ind w:firstLine="550"/>
        <w:jc w:val="both"/>
      </w:pPr>
      <w:r w:rsidRPr="00C71590">
        <w:t xml:space="preserve">По загальному фонду касові видатки становлять 64,9 тис.грн., або 99,1 відс. до річних призначень. В порівнянні з 2014 роком видатки збільшились на 34,1 тис.грн., або в 2,1 рази  </w:t>
      </w:r>
      <w:r w:rsidRPr="00C71590">
        <w:lastRenderedPageBreak/>
        <w:t xml:space="preserve">зв’язку із підвищенням вартості твердого палива і скрапленого газу та збільшенням кількості отримувачів субсидій на тверде паливо і скраплений газ. </w:t>
      </w:r>
    </w:p>
    <w:p w:rsidR="00C71590" w:rsidRPr="00C71590" w:rsidRDefault="00C71590" w:rsidP="00C71590">
      <w:pPr>
        <w:ind w:firstLine="540"/>
        <w:jc w:val="both"/>
        <w:rPr>
          <w:lang w:val="ru-RU"/>
        </w:rPr>
      </w:pPr>
      <w:r w:rsidRPr="00C71590">
        <w:t>Дебіторська та кредиторська заборгованості по загальному фонду станом на 01.01.2016 відсутні.</w:t>
      </w:r>
    </w:p>
    <w:p w:rsidR="00C71590" w:rsidRPr="00C71590" w:rsidRDefault="00C71590" w:rsidP="00C71590">
      <w:pPr>
        <w:spacing w:before="120"/>
        <w:jc w:val="center"/>
        <w:rPr>
          <w:b/>
          <w:bCs/>
          <w:i/>
          <w:iCs/>
          <w:highlight w:val="yellow"/>
          <w:u w:val="single"/>
          <w:lang w:eastAsia="x-none"/>
        </w:rPr>
      </w:pPr>
      <w:r w:rsidRPr="00C71590">
        <w:rPr>
          <w:b/>
          <w:bCs/>
          <w:i/>
          <w:iCs/>
          <w:u w:val="single"/>
          <w:lang w:eastAsia="x-none"/>
        </w:rPr>
        <w:t>Субвенція з державного бюджету місцевим бюджетам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І чи ІІ групи внаслідок психічного  розладу</w:t>
      </w:r>
    </w:p>
    <w:p w:rsidR="00C71590" w:rsidRPr="00C71590" w:rsidRDefault="00C71590" w:rsidP="00C71590">
      <w:pPr>
        <w:jc w:val="center"/>
        <w:rPr>
          <w:b/>
          <w:bCs/>
          <w:i/>
          <w:iCs/>
          <w:u w:val="single"/>
          <w:lang w:eastAsia="x-none"/>
        </w:rPr>
      </w:pPr>
      <w:r w:rsidRPr="00C71590">
        <w:rPr>
          <w:b/>
          <w:bCs/>
          <w:i/>
          <w:iCs/>
          <w:u w:val="single"/>
          <w:lang w:eastAsia="x-none"/>
        </w:rPr>
        <w:t>(КТКВК 090302, 090303, 090304, 090305, 090306, 090307, 090308, 090401, 090413, 091300)</w:t>
      </w:r>
    </w:p>
    <w:p w:rsidR="00C71590" w:rsidRPr="00C71590" w:rsidRDefault="00C71590" w:rsidP="00C71590">
      <w:pPr>
        <w:ind w:firstLine="539"/>
        <w:jc w:val="both"/>
        <w:rPr>
          <w:lang w:eastAsia="x-none"/>
        </w:rPr>
      </w:pPr>
      <w:r w:rsidRPr="00C71590">
        <w:rPr>
          <w:lang w:eastAsia="x-none"/>
        </w:rPr>
        <w:t xml:space="preserve">По загальному фонду касові видатки становлять 246712,8 тис.грн., або 100 відс. до річних уточнених призначень. </w:t>
      </w:r>
    </w:p>
    <w:p w:rsidR="00C71590" w:rsidRPr="00C71590" w:rsidRDefault="00C71590" w:rsidP="00C71590">
      <w:pPr>
        <w:ind w:firstLine="539"/>
        <w:jc w:val="both"/>
        <w:rPr>
          <w:bCs/>
          <w:iCs/>
          <w:highlight w:val="yellow"/>
          <w:lang w:eastAsia="x-none"/>
        </w:rPr>
      </w:pPr>
      <w:r w:rsidRPr="00C71590">
        <w:rPr>
          <w:lang w:eastAsia="x-none"/>
        </w:rPr>
        <w:t xml:space="preserve">В порівнянні з 2014 роком видатки на виплату державної допомоги сім’ям з дітьми, малозабезпеченим сім’ям, інвалідам з дитинства, дітям - інвалідам та тимчасової державної допомоги дітям збільшилися на 14771,0 тис.грн., або на 6,4 відс. Збільшення видатків пояснюється збільшенням переліку виплат, які фінансуються  за рахунок цієї субвенції, а саме : допомоги </w:t>
      </w:r>
      <w:r w:rsidRPr="00C71590">
        <w:rPr>
          <w:bCs/>
          <w:iCs/>
          <w:lang w:eastAsia="x-none"/>
        </w:rPr>
        <w:t xml:space="preserve">по догляду за інвалідами І чи ІІ групи внаслідок психічного  розладу. Крім того, збільшенням </w:t>
      </w:r>
      <w:r w:rsidRPr="00C71590">
        <w:rPr>
          <w:lang w:eastAsia="x-none"/>
        </w:rPr>
        <w:t xml:space="preserve">кількості одержувачів допомоги та прожиткового мінімуму на 1 особу який враховується при розрахунку виплат по кожному виду допомоги. </w:t>
      </w:r>
    </w:p>
    <w:p w:rsidR="00C71590" w:rsidRPr="00C71590" w:rsidRDefault="00C71590" w:rsidP="00C71590">
      <w:pPr>
        <w:ind w:firstLine="550"/>
        <w:jc w:val="both"/>
        <w:rPr>
          <w:lang w:val="ru-RU"/>
        </w:rPr>
      </w:pPr>
      <w:r w:rsidRPr="00C71590">
        <w:t>Дебіторська та кредиторська заборгованості по загальному фонду станом на 01.01.2016 відсутні.</w:t>
      </w:r>
    </w:p>
    <w:p w:rsidR="00C71590" w:rsidRPr="00C71590" w:rsidRDefault="00C71590" w:rsidP="00C71590">
      <w:pPr>
        <w:jc w:val="center"/>
        <w:rPr>
          <w:b/>
          <w:bCs/>
          <w:i/>
          <w:iCs/>
          <w:u w:val="single"/>
          <w:lang w:eastAsia="x-none"/>
        </w:rPr>
      </w:pPr>
      <w:r w:rsidRPr="00C71590">
        <w:rPr>
          <w:b/>
          <w:bCs/>
          <w:i/>
          <w:iCs/>
          <w:u w:val="single"/>
          <w:lang w:eastAsia="x-none"/>
        </w:rPr>
        <w:t>Територіальні центри соціального обслуговування</w:t>
      </w:r>
    </w:p>
    <w:p w:rsidR="00C71590" w:rsidRPr="00C71590" w:rsidRDefault="00C71590" w:rsidP="00C71590">
      <w:pPr>
        <w:jc w:val="center"/>
        <w:rPr>
          <w:b/>
          <w:bCs/>
          <w:i/>
          <w:iCs/>
          <w:u w:val="single"/>
          <w:lang w:val="ru-RU" w:eastAsia="x-none"/>
        </w:rPr>
      </w:pPr>
      <w:r w:rsidRPr="00C71590">
        <w:rPr>
          <w:b/>
          <w:bCs/>
          <w:i/>
          <w:iCs/>
          <w:u w:val="single"/>
          <w:lang w:eastAsia="x-none"/>
        </w:rPr>
        <w:t>(надання соціальних послуг)(КТКВК 091204)</w:t>
      </w:r>
    </w:p>
    <w:p w:rsidR="00C71590" w:rsidRPr="00C71590" w:rsidRDefault="00C71590" w:rsidP="00C71590">
      <w:pPr>
        <w:ind w:firstLine="539"/>
        <w:jc w:val="both"/>
      </w:pPr>
      <w:r w:rsidRPr="00C71590">
        <w:t xml:space="preserve">Видатки на утримання територіальних центрів соціальної допомоги за 2015 рік по загальному фонду склали 7466,5 тис.грн. (в т.ч. субвенція з обласного бюджету на соціально-економічний розвиток регіонів на придбання обладнання для територіального центру соціальної допомоги Придніпровського району м. Черкаси – 2,4 тис.грн.), або 99,1 відс. до річного уточненого плану. </w:t>
      </w:r>
    </w:p>
    <w:p w:rsidR="00C71590" w:rsidRPr="00C71590" w:rsidRDefault="00C71590" w:rsidP="00C71590">
      <w:pPr>
        <w:ind w:firstLine="539"/>
        <w:jc w:val="both"/>
      </w:pPr>
      <w:r w:rsidRPr="00C71590">
        <w:t>На заробітну плату з нарахуваннями спрямовано 6519,4 тис.грн., або 100 відс. до річного уточненого плану. В порівнянні з аналогічним періодом минулого року видатки збільшились на 1171,5 тис.грн., або на 18 відс., що пояснюється підвищенням розміру індексації заробітної плати.</w:t>
      </w:r>
    </w:p>
    <w:p w:rsidR="00C71590" w:rsidRPr="00C71590" w:rsidRDefault="00C71590" w:rsidP="00C71590">
      <w:pPr>
        <w:ind w:firstLine="540"/>
        <w:jc w:val="both"/>
      </w:pPr>
      <w:r w:rsidRPr="00C71590">
        <w:t>На оплату медикаментів направлено 1,1 тис.грн., що становить 99,2 відс. до річного уточненого плану. В порівнянні з аналогічним періодом минулого року видатки збільшились на 0,1 тис.грн, або на 9,1 відс.</w:t>
      </w:r>
    </w:p>
    <w:p w:rsidR="00C71590" w:rsidRPr="00C71590" w:rsidRDefault="00C71590" w:rsidP="00C71590">
      <w:pPr>
        <w:ind w:firstLine="540"/>
        <w:jc w:val="both"/>
      </w:pPr>
      <w:r w:rsidRPr="00C71590">
        <w:t>На оплату продуктів харчування направлено 56,7 тис.грн., що становить 94,2 відс. до річного уточненого плану. В порівнянні з аналогічним періодом минулого року видатки збільшились на 16,1 тис.грн., або на 28,4 відс., у зв’язку з збільшенням кількості відвідувань в групах денного перебування та відкриттям групи денного перебування для дітей-інвалідів в територіальному центрі соціальної допомоги Соснівського району.</w:t>
      </w:r>
    </w:p>
    <w:p w:rsidR="00C71590" w:rsidRPr="00C71590" w:rsidRDefault="00C71590" w:rsidP="00C71590">
      <w:pPr>
        <w:ind w:firstLine="540"/>
        <w:jc w:val="both"/>
      </w:pPr>
      <w:r w:rsidRPr="00C71590">
        <w:t xml:space="preserve">На оплату комунальних послуг і енергоносіїв направлено 485,4 тис.грн., або 90,2 відс. до річного уточненого плану. В порівнянні з аналогічним періодом минулого року видатки збільшились на 127,7 тис.грн., або на 26,3 відс., що пояснюється значним підвищенням вартості енергоносіїв. </w:t>
      </w:r>
    </w:p>
    <w:p w:rsidR="00C71590" w:rsidRPr="00C71590" w:rsidRDefault="00C71590" w:rsidP="00C71590">
      <w:pPr>
        <w:ind w:firstLine="567"/>
        <w:jc w:val="both"/>
        <w:rPr>
          <w:bCs/>
          <w:iCs/>
          <w:lang w:eastAsia="x-none"/>
        </w:rPr>
      </w:pPr>
      <w:r w:rsidRPr="00C71590">
        <w:rPr>
          <w:bCs/>
          <w:iCs/>
          <w:lang w:eastAsia="x-none"/>
        </w:rPr>
        <w:t>На інші видатки спрямовано 403,9 тис.грн., що становить 97,9 відс. до річного уточненого плану. В порівнянні з аналогічним періодом минулого року видатки збільшились на 222,4 тис.грн.,</w:t>
      </w:r>
      <w:r w:rsidRPr="00C71590">
        <w:rPr>
          <w:b/>
          <w:bCs/>
          <w:iCs/>
          <w:lang w:eastAsia="x-none"/>
        </w:rPr>
        <w:t xml:space="preserve"> </w:t>
      </w:r>
      <w:r w:rsidRPr="00C71590">
        <w:rPr>
          <w:bCs/>
          <w:iCs/>
          <w:lang w:eastAsia="x-none"/>
        </w:rPr>
        <w:t xml:space="preserve">пов’язано з тим, що протягом 2015 року була погашена кредиторська заборгованість, що утворилась на 01.01.2015. </w:t>
      </w:r>
    </w:p>
    <w:p w:rsidR="00C71590" w:rsidRPr="00C71590" w:rsidRDefault="00C71590" w:rsidP="00C71590">
      <w:pPr>
        <w:ind w:firstLine="540"/>
        <w:jc w:val="both"/>
      </w:pPr>
      <w:r w:rsidRPr="00C71590">
        <w:t xml:space="preserve">Дебіторська та кредиторська заборгованості по загальному фонду станом на 01.01.2016 відсутня. </w:t>
      </w:r>
    </w:p>
    <w:p w:rsidR="00C71590" w:rsidRPr="00C71590" w:rsidRDefault="00C71590" w:rsidP="00C71590">
      <w:pPr>
        <w:ind w:firstLine="540"/>
        <w:jc w:val="both"/>
      </w:pPr>
      <w:r w:rsidRPr="00C71590">
        <w:t xml:space="preserve">Видатки спеціального фонду за 2015 рік склали 1201,6 тис.грн., або 99,4 відс. до річного уточненого плану, з них: </w:t>
      </w:r>
    </w:p>
    <w:p w:rsidR="00C71590" w:rsidRPr="00C71590" w:rsidRDefault="00C71590" w:rsidP="00C71590">
      <w:pPr>
        <w:ind w:firstLine="540"/>
        <w:jc w:val="both"/>
      </w:pPr>
      <w:r w:rsidRPr="00C71590">
        <w:t xml:space="preserve">1) за рахунок власних надходжень касові видатки склали 193,3 тис.грн., або 97,3 відс. річного уточненого плану, у т.ч. на: заробітну плату з нарахуваннями – 15,5 тис.грн.; придбання продуктів харчування – 89,0 тис.грн.; оплату комунальних послуг і енергоносіїв – </w:t>
      </w:r>
      <w:r w:rsidRPr="00C71590">
        <w:lastRenderedPageBreak/>
        <w:t xml:space="preserve">1,5 тис.грн.; інші поточні видатки – 76,4 тис.грн.; капітальні видатки – 10,9 тис.грн. (2 інвалідні візки); </w:t>
      </w:r>
    </w:p>
    <w:p w:rsidR="00C71590" w:rsidRPr="00C71590" w:rsidRDefault="00C71590" w:rsidP="00C71590">
      <w:pPr>
        <w:ind w:firstLine="540"/>
        <w:jc w:val="both"/>
      </w:pPr>
      <w:r w:rsidRPr="00C71590">
        <w:t>2) видатки за рахунок бюджету розвитку за 2015 рік склали 1008,3 тис.грн., або 99,8 відс. до річного уточненого плану, в т.ч.: 72,9 тис.грн. на капітальний ремонт каналізаційної системи в приміщенні адміністративної будівлі територіального центру соціальної допомоги Соснівського району м. Черкаси (кредиторська заборгованість 2014 року), 12,8 тис.грн. на придбання проекційного екрану, проектору для "Університету III віку", що функціонує на базі відділення соціально-побутової адаптації територіального центру соціальної допомоги Соснівського району м. Черкаси (кредиторська заборгованість 2014 року), 1,5 тис.грн. на капітальний ремонт покрівлі адміністративної будівлі територіального центру соціальної допомоги Придніпровського району м. Черкаси за адресою м. Черкаси, провулок Гвардійський, 7/5 (кредиторська заборгованість 2014 року), 2,8 тис.грн. на придбання та встановлення бойлера для підігріву води у відділенні соціальної реабілітації дітей-інвалідів територіального центру соціальної допомоги Соснівського району, при якому відкрито групу денного перебування дітей-інвалідів, 26,0 тис.грн. на придбання та встановлення кондиціонерів для відділення соціальної реабілітації дітей-інвалідів територіального центру соціальної допомоги Соснівського району, 17,2 тис.грн. на придбання та встановлення кондиціонерів для відділень територіального центру соціальної допомоги Придніпровського району м. Черкаси, 850,0 тис.грн. на проведення заміни вікон в трьох корпусах та переходах між ними адміністративної будівлі територіального центру соціальної допомоги Придніпровського району м. Черкаси, 25,1 тис. грн. на придбання реабілітаційного обладнання для територіального центру соціальної допомоги Соснівського району м. Черкаси.</w:t>
      </w:r>
    </w:p>
    <w:p w:rsidR="00C71590" w:rsidRPr="00C71590" w:rsidRDefault="00C71590" w:rsidP="00C71590">
      <w:pPr>
        <w:ind w:firstLine="550"/>
        <w:jc w:val="both"/>
        <w:rPr>
          <w:lang w:val="ru-RU"/>
        </w:rPr>
      </w:pPr>
      <w:r w:rsidRPr="00C71590">
        <w:t>Дебіторська та кредиторська заборгованості по спеціальному фонду станом на 01.01.2016 відсутні.</w:t>
      </w:r>
    </w:p>
    <w:p w:rsidR="00C71590" w:rsidRPr="00C71590" w:rsidRDefault="00C71590" w:rsidP="00C71590">
      <w:pPr>
        <w:ind w:firstLine="567"/>
        <w:jc w:val="both"/>
        <w:rPr>
          <w:highlight w:val="yellow"/>
          <w:lang w:val="ru-RU"/>
        </w:rPr>
      </w:pPr>
    </w:p>
    <w:p w:rsidR="00C71590" w:rsidRPr="00C71590" w:rsidRDefault="00C71590" w:rsidP="00C71590">
      <w:pPr>
        <w:jc w:val="center"/>
        <w:rPr>
          <w:b/>
          <w:i/>
          <w:iCs/>
          <w:u w:val="single"/>
          <w:lang w:eastAsia="x-none"/>
        </w:rPr>
      </w:pPr>
      <w:r w:rsidRPr="00C71590">
        <w:rPr>
          <w:b/>
          <w:i/>
          <w:iCs/>
          <w:u w:val="single"/>
          <w:lang w:eastAsia="x-none"/>
        </w:rPr>
        <w:t xml:space="preserve">Інші видатки на соціальний захист населення (КТКВК 090412) </w:t>
      </w:r>
    </w:p>
    <w:p w:rsidR="00C71590" w:rsidRPr="00C71590" w:rsidRDefault="00C71590" w:rsidP="00C71590">
      <w:pPr>
        <w:ind w:firstLine="539"/>
        <w:jc w:val="both"/>
      </w:pPr>
      <w:r w:rsidRPr="00C71590">
        <w:rPr>
          <w:sz w:val="22"/>
          <w:szCs w:val="22"/>
        </w:rPr>
        <w:t xml:space="preserve">В </w:t>
      </w:r>
      <w:r w:rsidRPr="00C71590">
        <w:t>бюджеті міста на 2015 рік по розділу «Інші видатки на соціальний захист населення» передбачено видатки в сумі 4817,6 тис.грн., в тому числі: за рахунок субвенції з обласного бюджету у сумі 509,3 тис.грн. та за рахунок коштів міського бюджету – 4308,3 тис.грн. (міська соціальна програма «Турбота» - 2828,3 тис.грн., міська комплексна програма підтримки учасників антитерористичної операції та членів їх сімей – мешканців м. Черкаси – 1480,0 тис.грн.).</w:t>
      </w:r>
    </w:p>
    <w:p w:rsidR="00C71590" w:rsidRPr="00C71590" w:rsidRDefault="00C71590" w:rsidP="00C71590">
      <w:pPr>
        <w:ind w:firstLine="540"/>
        <w:jc w:val="both"/>
      </w:pPr>
      <w:r w:rsidRPr="00C71590">
        <w:t>Видатки по загальному фонду розподілені таким чином:</w:t>
      </w:r>
      <w:r w:rsidRPr="00C71590">
        <w:tab/>
      </w:r>
      <w:r w:rsidRPr="00C71590">
        <w:tab/>
      </w:r>
      <w:r w:rsidRPr="00C71590">
        <w:tab/>
      </w:r>
      <w:r w:rsidRPr="00C71590">
        <w:tab/>
        <w:t xml:space="preserve">   </w:t>
      </w:r>
      <w:r w:rsidRPr="00C71590">
        <w:tab/>
      </w:r>
      <w:r w:rsidRPr="00C71590">
        <w:tab/>
      </w:r>
      <w:r w:rsidRPr="00C71590">
        <w:tab/>
      </w:r>
      <w:r w:rsidRPr="00C71590">
        <w:tab/>
      </w:r>
      <w:r w:rsidRPr="00C71590">
        <w:tab/>
      </w:r>
      <w:r w:rsidRPr="00C71590">
        <w:tab/>
      </w:r>
      <w:r w:rsidRPr="00C71590">
        <w:tab/>
      </w:r>
      <w:r w:rsidRPr="00C71590">
        <w:tab/>
      </w:r>
      <w:r w:rsidRPr="00C71590">
        <w:tab/>
      </w:r>
      <w:r w:rsidRPr="00C71590">
        <w:tab/>
      </w:r>
      <w:r w:rsidRPr="00C71590">
        <w:tab/>
      </w:r>
      <w:r w:rsidRPr="00C71590">
        <w:tab/>
        <w:t>тис.грн.</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620"/>
        <w:gridCol w:w="1998"/>
        <w:gridCol w:w="1800"/>
      </w:tblGrid>
      <w:tr w:rsidR="00C71590" w:rsidRPr="00C71590" w:rsidTr="002F34D0">
        <w:tc>
          <w:tcPr>
            <w:tcW w:w="4361" w:type="dxa"/>
          </w:tcPr>
          <w:p w:rsidR="00C71590" w:rsidRPr="00C71590" w:rsidRDefault="00C71590" w:rsidP="00C71590">
            <w:pPr>
              <w:jc w:val="center"/>
              <w:rPr>
                <w:b/>
              </w:rPr>
            </w:pPr>
          </w:p>
          <w:p w:rsidR="00C71590" w:rsidRPr="00C71590" w:rsidRDefault="00C71590" w:rsidP="00C71590">
            <w:pPr>
              <w:jc w:val="center"/>
              <w:rPr>
                <w:b/>
              </w:rPr>
            </w:pPr>
            <w:r w:rsidRPr="00C71590">
              <w:rPr>
                <w:b/>
              </w:rPr>
              <w:t>Назва</w:t>
            </w:r>
          </w:p>
        </w:tc>
        <w:tc>
          <w:tcPr>
            <w:tcW w:w="1620" w:type="dxa"/>
          </w:tcPr>
          <w:p w:rsidR="00C71590" w:rsidRPr="00C71590" w:rsidRDefault="00C71590" w:rsidP="00C71590">
            <w:pPr>
              <w:jc w:val="center"/>
              <w:rPr>
                <w:b/>
              </w:rPr>
            </w:pPr>
          </w:p>
          <w:p w:rsidR="00C71590" w:rsidRPr="00C71590" w:rsidRDefault="00C71590" w:rsidP="00C71590">
            <w:pPr>
              <w:jc w:val="center"/>
              <w:rPr>
                <w:b/>
              </w:rPr>
            </w:pPr>
            <w:r w:rsidRPr="00C71590">
              <w:rPr>
                <w:b/>
              </w:rPr>
              <w:t>План річний</w:t>
            </w:r>
          </w:p>
        </w:tc>
        <w:tc>
          <w:tcPr>
            <w:tcW w:w="1998" w:type="dxa"/>
          </w:tcPr>
          <w:p w:rsidR="00C71590" w:rsidRPr="00C71590" w:rsidRDefault="00C71590" w:rsidP="00C71590">
            <w:pPr>
              <w:jc w:val="center"/>
              <w:rPr>
                <w:b/>
              </w:rPr>
            </w:pPr>
            <w:r w:rsidRPr="00C71590">
              <w:rPr>
                <w:b/>
              </w:rPr>
              <w:t xml:space="preserve">Касові видатки за </w:t>
            </w:r>
          </w:p>
          <w:p w:rsidR="00C71590" w:rsidRPr="00C71590" w:rsidRDefault="00C71590" w:rsidP="00C71590">
            <w:pPr>
              <w:jc w:val="center"/>
              <w:rPr>
                <w:b/>
              </w:rPr>
            </w:pPr>
            <w:r w:rsidRPr="00C71590">
              <w:rPr>
                <w:b/>
              </w:rPr>
              <w:t>201</w:t>
            </w:r>
            <w:r w:rsidRPr="00C71590">
              <w:rPr>
                <w:b/>
                <w:lang w:val="ru-RU"/>
              </w:rPr>
              <w:t>5 рік</w:t>
            </w:r>
            <w:r w:rsidRPr="00C71590">
              <w:rPr>
                <w:b/>
              </w:rPr>
              <w:t xml:space="preserve"> </w:t>
            </w:r>
          </w:p>
        </w:tc>
        <w:tc>
          <w:tcPr>
            <w:tcW w:w="1800" w:type="dxa"/>
          </w:tcPr>
          <w:p w:rsidR="00C71590" w:rsidRPr="00C71590" w:rsidRDefault="00C71590" w:rsidP="00C71590">
            <w:pPr>
              <w:jc w:val="center"/>
              <w:rPr>
                <w:b/>
              </w:rPr>
            </w:pPr>
            <w:r w:rsidRPr="00C71590">
              <w:rPr>
                <w:b/>
              </w:rPr>
              <w:t>% виконання</w:t>
            </w:r>
          </w:p>
          <w:p w:rsidR="00C71590" w:rsidRPr="00C71590" w:rsidRDefault="00C71590" w:rsidP="00C71590">
            <w:pPr>
              <w:jc w:val="center"/>
              <w:rPr>
                <w:b/>
              </w:rPr>
            </w:pPr>
            <w:r w:rsidRPr="00C71590">
              <w:rPr>
                <w:b/>
              </w:rPr>
              <w:t xml:space="preserve">до річного плану </w:t>
            </w:r>
          </w:p>
        </w:tc>
      </w:tr>
      <w:tr w:rsidR="00C71590" w:rsidRPr="00C71590" w:rsidTr="002F34D0">
        <w:tc>
          <w:tcPr>
            <w:tcW w:w="4361" w:type="dxa"/>
          </w:tcPr>
          <w:p w:rsidR="00C71590" w:rsidRPr="00C71590" w:rsidRDefault="00C71590" w:rsidP="00C71590">
            <w:pPr>
              <w:rPr>
                <w:b/>
              </w:rPr>
            </w:pPr>
            <w:r w:rsidRPr="00C71590">
              <w:rPr>
                <w:b/>
              </w:rPr>
              <w:t>Міська соціальна програма «Турбота»</w:t>
            </w:r>
          </w:p>
        </w:tc>
        <w:tc>
          <w:tcPr>
            <w:tcW w:w="1620" w:type="dxa"/>
          </w:tcPr>
          <w:p w:rsidR="00C71590" w:rsidRPr="00C71590" w:rsidRDefault="00C71590" w:rsidP="00C71590">
            <w:pPr>
              <w:jc w:val="center"/>
              <w:rPr>
                <w:b/>
              </w:rPr>
            </w:pPr>
            <w:r w:rsidRPr="00C71590">
              <w:rPr>
                <w:b/>
              </w:rPr>
              <w:t>2828,3</w:t>
            </w:r>
          </w:p>
        </w:tc>
        <w:tc>
          <w:tcPr>
            <w:tcW w:w="1998" w:type="dxa"/>
          </w:tcPr>
          <w:p w:rsidR="00C71590" w:rsidRPr="00C71590" w:rsidRDefault="00C71590" w:rsidP="00C71590">
            <w:pPr>
              <w:jc w:val="center"/>
              <w:rPr>
                <w:b/>
                <w:highlight w:val="yellow"/>
              </w:rPr>
            </w:pPr>
            <w:r w:rsidRPr="00C71590">
              <w:rPr>
                <w:b/>
              </w:rPr>
              <w:t>2514,0</w:t>
            </w:r>
          </w:p>
        </w:tc>
        <w:tc>
          <w:tcPr>
            <w:tcW w:w="1800" w:type="dxa"/>
          </w:tcPr>
          <w:p w:rsidR="00C71590" w:rsidRPr="00C71590" w:rsidRDefault="00C71590" w:rsidP="00C71590">
            <w:pPr>
              <w:jc w:val="center"/>
              <w:rPr>
                <w:b/>
                <w:highlight w:val="yellow"/>
              </w:rPr>
            </w:pPr>
            <w:r w:rsidRPr="00C71590">
              <w:rPr>
                <w:b/>
              </w:rPr>
              <w:t>88,9</w:t>
            </w:r>
          </w:p>
        </w:tc>
      </w:tr>
      <w:tr w:rsidR="00C71590" w:rsidRPr="00C71590" w:rsidTr="002F34D0">
        <w:tc>
          <w:tcPr>
            <w:tcW w:w="4361" w:type="dxa"/>
          </w:tcPr>
          <w:p w:rsidR="00C71590" w:rsidRPr="00C71590" w:rsidRDefault="00C71590" w:rsidP="00C71590">
            <w:r w:rsidRPr="00C71590">
              <w:t>Матеріальна допомога громадянам</w:t>
            </w:r>
          </w:p>
        </w:tc>
        <w:tc>
          <w:tcPr>
            <w:tcW w:w="1620" w:type="dxa"/>
          </w:tcPr>
          <w:p w:rsidR="00C71590" w:rsidRPr="00C71590" w:rsidRDefault="00C71590" w:rsidP="00C71590">
            <w:pPr>
              <w:jc w:val="center"/>
            </w:pPr>
            <w:r w:rsidRPr="00C71590">
              <w:t>1215,5</w:t>
            </w:r>
          </w:p>
        </w:tc>
        <w:tc>
          <w:tcPr>
            <w:tcW w:w="1998" w:type="dxa"/>
          </w:tcPr>
          <w:p w:rsidR="00C71590" w:rsidRPr="00C71590" w:rsidRDefault="00C71590" w:rsidP="00C71590">
            <w:pPr>
              <w:jc w:val="center"/>
            </w:pPr>
            <w:r w:rsidRPr="00C71590">
              <w:t>1190,7</w:t>
            </w:r>
          </w:p>
        </w:tc>
        <w:tc>
          <w:tcPr>
            <w:tcW w:w="1800" w:type="dxa"/>
          </w:tcPr>
          <w:p w:rsidR="00C71590" w:rsidRPr="00C71590" w:rsidRDefault="00C71590" w:rsidP="00C71590">
            <w:pPr>
              <w:jc w:val="center"/>
              <w:rPr>
                <w:highlight w:val="yellow"/>
                <w:lang w:val="en-US"/>
              </w:rPr>
            </w:pPr>
            <w:r w:rsidRPr="00C71590">
              <w:t>98,0</w:t>
            </w:r>
          </w:p>
        </w:tc>
      </w:tr>
      <w:tr w:rsidR="00C71590" w:rsidRPr="00C71590" w:rsidTr="002F34D0">
        <w:tc>
          <w:tcPr>
            <w:tcW w:w="4361" w:type="dxa"/>
          </w:tcPr>
          <w:p w:rsidR="00C71590" w:rsidRPr="00C71590" w:rsidRDefault="00C71590" w:rsidP="00C71590">
            <w:r w:rsidRPr="00C71590">
              <w:t xml:space="preserve">Проведення благодійних акцій </w:t>
            </w:r>
          </w:p>
        </w:tc>
        <w:tc>
          <w:tcPr>
            <w:tcW w:w="1620" w:type="dxa"/>
          </w:tcPr>
          <w:p w:rsidR="00C71590" w:rsidRPr="00C71590" w:rsidRDefault="00C71590" w:rsidP="00C71590">
            <w:pPr>
              <w:jc w:val="center"/>
            </w:pPr>
            <w:r w:rsidRPr="00C71590">
              <w:t>14,4</w:t>
            </w:r>
          </w:p>
        </w:tc>
        <w:tc>
          <w:tcPr>
            <w:tcW w:w="1998" w:type="dxa"/>
          </w:tcPr>
          <w:p w:rsidR="00C71590" w:rsidRPr="00C71590" w:rsidRDefault="00C71590" w:rsidP="00C71590">
            <w:pPr>
              <w:jc w:val="center"/>
            </w:pPr>
            <w:r w:rsidRPr="00C71590">
              <w:t>13,4</w:t>
            </w:r>
          </w:p>
        </w:tc>
        <w:tc>
          <w:tcPr>
            <w:tcW w:w="1800" w:type="dxa"/>
          </w:tcPr>
          <w:p w:rsidR="00C71590" w:rsidRPr="00C71590" w:rsidRDefault="00C71590" w:rsidP="00C71590">
            <w:pPr>
              <w:jc w:val="center"/>
              <w:rPr>
                <w:highlight w:val="yellow"/>
              </w:rPr>
            </w:pPr>
            <w:r w:rsidRPr="00C71590">
              <w:t>93,1</w:t>
            </w:r>
          </w:p>
        </w:tc>
      </w:tr>
      <w:tr w:rsidR="00C71590" w:rsidRPr="00C71590" w:rsidTr="002F34D0">
        <w:tc>
          <w:tcPr>
            <w:tcW w:w="4361" w:type="dxa"/>
          </w:tcPr>
          <w:p w:rsidR="00C71590" w:rsidRPr="00C71590" w:rsidRDefault="00C71590" w:rsidP="00C71590">
            <w:r w:rsidRPr="00C71590">
              <w:t>Стипендії 100-річним</w:t>
            </w:r>
          </w:p>
        </w:tc>
        <w:tc>
          <w:tcPr>
            <w:tcW w:w="1620" w:type="dxa"/>
          </w:tcPr>
          <w:p w:rsidR="00C71590" w:rsidRPr="00C71590" w:rsidRDefault="00C71590" w:rsidP="00C71590">
            <w:pPr>
              <w:jc w:val="center"/>
            </w:pPr>
            <w:r w:rsidRPr="00C71590">
              <w:t>14,0</w:t>
            </w:r>
          </w:p>
        </w:tc>
        <w:tc>
          <w:tcPr>
            <w:tcW w:w="1998" w:type="dxa"/>
          </w:tcPr>
          <w:p w:rsidR="00C71590" w:rsidRPr="00C71590" w:rsidRDefault="00C71590" w:rsidP="00C71590">
            <w:pPr>
              <w:jc w:val="center"/>
              <w:rPr>
                <w:highlight w:val="yellow"/>
              </w:rPr>
            </w:pPr>
            <w:r w:rsidRPr="00C71590">
              <w:t>9,5</w:t>
            </w:r>
          </w:p>
        </w:tc>
        <w:tc>
          <w:tcPr>
            <w:tcW w:w="1800" w:type="dxa"/>
          </w:tcPr>
          <w:p w:rsidR="00C71590" w:rsidRPr="00C71590" w:rsidRDefault="00C71590" w:rsidP="00C71590">
            <w:pPr>
              <w:jc w:val="center"/>
              <w:rPr>
                <w:highlight w:val="yellow"/>
              </w:rPr>
            </w:pPr>
            <w:r w:rsidRPr="00C71590">
              <w:t>67,8</w:t>
            </w:r>
          </w:p>
        </w:tc>
      </w:tr>
      <w:tr w:rsidR="00C71590" w:rsidRPr="00C71590" w:rsidTr="002F34D0">
        <w:tc>
          <w:tcPr>
            <w:tcW w:w="4361" w:type="dxa"/>
          </w:tcPr>
          <w:p w:rsidR="00C71590" w:rsidRPr="00C71590" w:rsidRDefault="00C71590" w:rsidP="00C71590">
            <w:r w:rsidRPr="00C71590">
              <w:t>Стипендії визволителям м. Черкаси</w:t>
            </w:r>
          </w:p>
        </w:tc>
        <w:tc>
          <w:tcPr>
            <w:tcW w:w="1620" w:type="dxa"/>
          </w:tcPr>
          <w:p w:rsidR="00C71590" w:rsidRPr="00C71590" w:rsidRDefault="00C71590" w:rsidP="00C71590">
            <w:pPr>
              <w:jc w:val="center"/>
            </w:pPr>
            <w:r w:rsidRPr="00C71590">
              <w:t>15,2</w:t>
            </w:r>
          </w:p>
        </w:tc>
        <w:tc>
          <w:tcPr>
            <w:tcW w:w="1998" w:type="dxa"/>
          </w:tcPr>
          <w:p w:rsidR="00C71590" w:rsidRPr="00C71590" w:rsidRDefault="00C71590" w:rsidP="00C71590">
            <w:pPr>
              <w:jc w:val="center"/>
              <w:rPr>
                <w:highlight w:val="yellow"/>
              </w:rPr>
            </w:pPr>
            <w:r w:rsidRPr="00C71590">
              <w:t>15,2</w:t>
            </w:r>
          </w:p>
        </w:tc>
        <w:tc>
          <w:tcPr>
            <w:tcW w:w="1800" w:type="dxa"/>
          </w:tcPr>
          <w:p w:rsidR="00C71590" w:rsidRPr="00C71590" w:rsidRDefault="00C71590" w:rsidP="00C71590">
            <w:pPr>
              <w:jc w:val="center"/>
            </w:pPr>
            <w:r w:rsidRPr="00C71590">
              <w:t>100,0</w:t>
            </w:r>
          </w:p>
        </w:tc>
      </w:tr>
      <w:tr w:rsidR="00C71590" w:rsidRPr="00C71590" w:rsidTr="002F34D0">
        <w:tc>
          <w:tcPr>
            <w:tcW w:w="4361" w:type="dxa"/>
          </w:tcPr>
          <w:p w:rsidR="00C71590" w:rsidRPr="00C71590" w:rsidRDefault="00C71590" w:rsidP="00C71590">
            <w:r w:rsidRPr="00C71590">
              <w:t>Санаторно-курортні путівки</w:t>
            </w:r>
          </w:p>
        </w:tc>
        <w:tc>
          <w:tcPr>
            <w:tcW w:w="1620" w:type="dxa"/>
          </w:tcPr>
          <w:p w:rsidR="00C71590" w:rsidRPr="00C71590" w:rsidRDefault="00C71590" w:rsidP="00C71590">
            <w:pPr>
              <w:jc w:val="center"/>
            </w:pPr>
            <w:r w:rsidRPr="00C71590">
              <w:t>104,4</w:t>
            </w:r>
          </w:p>
        </w:tc>
        <w:tc>
          <w:tcPr>
            <w:tcW w:w="1998" w:type="dxa"/>
          </w:tcPr>
          <w:p w:rsidR="00C71590" w:rsidRPr="00C71590" w:rsidRDefault="00C71590" w:rsidP="00C71590">
            <w:pPr>
              <w:jc w:val="center"/>
              <w:rPr>
                <w:highlight w:val="yellow"/>
              </w:rPr>
            </w:pPr>
            <w:r w:rsidRPr="00C71590">
              <w:t>102,9</w:t>
            </w:r>
          </w:p>
        </w:tc>
        <w:tc>
          <w:tcPr>
            <w:tcW w:w="1800" w:type="dxa"/>
          </w:tcPr>
          <w:p w:rsidR="00C71590" w:rsidRPr="00C71590" w:rsidRDefault="00C71590" w:rsidP="00C71590">
            <w:pPr>
              <w:jc w:val="center"/>
            </w:pPr>
            <w:r w:rsidRPr="00C71590">
              <w:t>98,6</w:t>
            </w:r>
          </w:p>
        </w:tc>
      </w:tr>
      <w:tr w:rsidR="00C71590" w:rsidRPr="00C71590" w:rsidTr="002F34D0">
        <w:tc>
          <w:tcPr>
            <w:tcW w:w="4361" w:type="dxa"/>
          </w:tcPr>
          <w:p w:rsidR="00C71590" w:rsidRPr="00C71590" w:rsidRDefault="00C71590" w:rsidP="00C71590">
            <w:r w:rsidRPr="00C71590">
              <w:t>Фінансова підтримка «Союз Чорнобиль»</w:t>
            </w:r>
          </w:p>
        </w:tc>
        <w:tc>
          <w:tcPr>
            <w:tcW w:w="1620" w:type="dxa"/>
          </w:tcPr>
          <w:p w:rsidR="00C71590" w:rsidRPr="00C71590" w:rsidRDefault="00C71590" w:rsidP="00C71590">
            <w:pPr>
              <w:jc w:val="center"/>
            </w:pPr>
            <w:r w:rsidRPr="00C71590">
              <w:t>42,1</w:t>
            </w:r>
          </w:p>
        </w:tc>
        <w:tc>
          <w:tcPr>
            <w:tcW w:w="1998" w:type="dxa"/>
          </w:tcPr>
          <w:p w:rsidR="00C71590" w:rsidRPr="00C71590" w:rsidRDefault="00C71590" w:rsidP="00C71590">
            <w:pPr>
              <w:jc w:val="center"/>
            </w:pPr>
            <w:r w:rsidRPr="00C71590">
              <w:rPr>
                <w:lang w:val="ru-RU"/>
              </w:rPr>
              <w:t>42,0</w:t>
            </w:r>
          </w:p>
        </w:tc>
        <w:tc>
          <w:tcPr>
            <w:tcW w:w="1800" w:type="dxa"/>
          </w:tcPr>
          <w:p w:rsidR="00C71590" w:rsidRPr="00C71590" w:rsidRDefault="00C71590" w:rsidP="00C71590">
            <w:pPr>
              <w:jc w:val="center"/>
              <w:rPr>
                <w:highlight w:val="yellow"/>
              </w:rPr>
            </w:pPr>
            <w:r w:rsidRPr="00C71590">
              <w:t>99,8</w:t>
            </w:r>
          </w:p>
        </w:tc>
      </w:tr>
      <w:tr w:rsidR="00C71590" w:rsidRPr="00C71590" w:rsidTr="002F34D0">
        <w:trPr>
          <w:trHeight w:val="435"/>
        </w:trPr>
        <w:tc>
          <w:tcPr>
            <w:tcW w:w="4361" w:type="dxa"/>
            <w:vAlign w:val="center"/>
          </w:tcPr>
          <w:p w:rsidR="00C71590" w:rsidRPr="00C71590" w:rsidRDefault="00C71590" w:rsidP="00C71590">
            <w:pPr>
              <w:rPr>
                <w:lang w:val="ru-RU"/>
              </w:rPr>
            </w:pPr>
            <w:r w:rsidRPr="00C71590">
              <w:t xml:space="preserve">Фінансова підтримка ЧБО ЛЖВ </w:t>
            </w:r>
            <w:r w:rsidRPr="00C71590">
              <w:rPr>
                <w:lang w:val="ru-RU"/>
              </w:rPr>
              <w:t>«</w:t>
            </w:r>
            <w:r w:rsidRPr="00C71590">
              <w:t>Від серця до серця</w:t>
            </w:r>
            <w:r w:rsidRPr="00C71590">
              <w:rPr>
                <w:lang w:val="ru-RU"/>
              </w:rPr>
              <w:t>»</w:t>
            </w:r>
          </w:p>
        </w:tc>
        <w:tc>
          <w:tcPr>
            <w:tcW w:w="1620" w:type="dxa"/>
            <w:vAlign w:val="center"/>
          </w:tcPr>
          <w:p w:rsidR="00C71590" w:rsidRPr="00C71590" w:rsidRDefault="00C71590" w:rsidP="00C71590">
            <w:pPr>
              <w:jc w:val="center"/>
            </w:pPr>
            <w:r w:rsidRPr="00C71590">
              <w:t>98,2</w:t>
            </w:r>
          </w:p>
        </w:tc>
        <w:tc>
          <w:tcPr>
            <w:tcW w:w="1998" w:type="dxa"/>
            <w:vAlign w:val="center"/>
          </w:tcPr>
          <w:p w:rsidR="00C71590" w:rsidRPr="00C71590" w:rsidRDefault="00C71590" w:rsidP="00C71590">
            <w:pPr>
              <w:jc w:val="center"/>
            </w:pPr>
            <w:r w:rsidRPr="00C71590">
              <w:t>95,5</w:t>
            </w:r>
          </w:p>
        </w:tc>
        <w:tc>
          <w:tcPr>
            <w:tcW w:w="1800" w:type="dxa"/>
            <w:vAlign w:val="center"/>
          </w:tcPr>
          <w:p w:rsidR="00C71590" w:rsidRPr="00C71590" w:rsidRDefault="00C71590" w:rsidP="00C71590">
            <w:pPr>
              <w:jc w:val="center"/>
            </w:pPr>
            <w:r w:rsidRPr="00C71590">
              <w:t>97,3</w:t>
            </w:r>
          </w:p>
        </w:tc>
      </w:tr>
      <w:tr w:rsidR="00C71590" w:rsidRPr="00C71590" w:rsidTr="002F34D0">
        <w:trPr>
          <w:trHeight w:val="201"/>
        </w:trPr>
        <w:tc>
          <w:tcPr>
            <w:tcW w:w="4361" w:type="dxa"/>
            <w:vAlign w:val="center"/>
          </w:tcPr>
          <w:p w:rsidR="00C71590" w:rsidRPr="00C71590" w:rsidRDefault="00C71590" w:rsidP="00C71590">
            <w:r w:rsidRPr="00C71590">
              <w:t>Фінансова підтримка ЧОВ ВБО «Всеукраїнська мережа ЛЖВ »</w:t>
            </w:r>
          </w:p>
        </w:tc>
        <w:tc>
          <w:tcPr>
            <w:tcW w:w="1620" w:type="dxa"/>
            <w:vAlign w:val="center"/>
          </w:tcPr>
          <w:p w:rsidR="00C71590" w:rsidRPr="00C71590" w:rsidRDefault="00C71590" w:rsidP="00C71590">
            <w:pPr>
              <w:jc w:val="center"/>
            </w:pPr>
            <w:r w:rsidRPr="00C71590">
              <w:t>205,0</w:t>
            </w:r>
          </w:p>
        </w:tc>
        <w:tc>
          <w:tcPr>
            <w:tcW w:w="1998" w:type="dxa"/>
            <w:vAlign w:val="center"/>
          </w:tcPr>
          <w:p w:rsidR="00C71590" w:rsidRPr="00C71590" w:rsidRDefault="00C71590" w:rsidP="00C71590">
            <w:pPr>
              <w:jc w:val="center"/>
            </w:pPr>
            <w:r w:rsidRPr="00C71590">
              <w:t>205,0</w:t>
            </w:r>
          </w:p>
        </w:tc>
        <w:tc>
          <w:tcPr>
            <w:tcW w:w="1800" w:type="dxa"/>
            <w:vAlign w:val="center"/>
          </w:tcPr>
          <w:p w:rsidR="00C71590" w:rsidRPr="00C71590" w:rsidRDefault="00C71590" w:rsidP="00C71590">
            <w:pPr>
              <w:jc w:val="center"/>
              <w:rPr>
                <w:highlight w:val="yellow"/>
              </w:rPr>
            </w:pPr>
            <w:r w:rsidRPr="00C71590">
              <w:t>100,0</w:t>
            </w:r>
          </w:p>
        </w:tc>
      </w:tr>
      <w:tr w:rsidR="00C71590" w:rsidRPr="00C71590" w:rsidTr="002F34D0">
        <w:trPr>
          <w:trHeight w:val="201"/>
        </w:trPr>
        <w:tc>
          <w:tcPr>
            <w:tcW w:w="4361" w:type="dxa"/>
            <w:vAlign w:val="center"/>
          </w:tcPr>
          <w:p w:rsidR="00C71590" w:rsidRPr="00C71590" w:rsidRDefault="00C71590" w:rsidP="00C71590">
            <w:r w:rsidRPr="00C71590">
              <w:t>Фінансова підтримка ГО «Ми просто інші»</w:t>
            </w:r>
          </w:p>
        </w:tc>
        <w:tc>
          <w:tcPr>
            <w:tcW w:w="1620" w:type="dxa"/>
            <w:vAlign w:val="center"/>
          </w:tcPr>
          <w:p w:rsidR="00C71590" w:rsidRPr="00C71590" w:rsidRDefault="00C71590" w:rsidP="00C71590">
            <w:pPr>
              <w:jc w:val="center"/>
            </w:pPr>
            <w:r w:rsidRPr="00C71590">
              <w:t>8,5</w:t>
            </w:r>
          </w:p>
        </w:tc>
        <w:tc>
          <w:tcPr>
            <w:tcW w:w="1998" w:type="dxa"/>
            <w:vAlign w:val="center"/>
          </w:tcPr>
          <w:p w:rsidR="00C71590" w:rsidRPr="00C71590" w:rsidRDefault="00C71590" w:rsidP="00C71590">
            <w:pPr>
              <w:jc w:val="center"/>
            </w:pPr>
            <w:r w:rsidRPr="00C71590">
              <w:t>5,7</w:t>
            </w:r>
          </w:p>
        </w:tc>
        <w:tc>
          <w:tcPr>
            <w:tcW w:w="1800" w:type="dxa"/>
            <w:vAlign w:val="center"/>
          </w:tcPr>
          <w:p w:rsidR="00C71590" w:rsidRPr="00C71590" w:rsidRDefault="00C71590" w:rsidP="00C71590">
            <w:pPr>
              <w:jc w:val="center"/>
              <w:rPr>
                <w:highlight w:val="yellow"/>
              </w:rPr>
            </w:pPr>
            <w:r w:rsidRPr="00C71590">
              <w:t>67,1</w:t>
            </w:r>
          </w:p>
        </w:tc>
      </w:tr>
      <w:tr w:rsidR="00C71590" w:rsidRPr="00C71590" w:rsidTr="002F34D0">
        <w:trPr>
          <w:trHeight w:val="201"/>
        </w:trPr>
        <w:tc>
          <w:tcPr>
            <w:tcW w:w="4361" w:type="dxa"/>
            <w:vAlign w:val="center"/>
          </w:tcPr>
          <w:p w:rsidR="00C71590" w:rsidRPr="00C71590" w:rsidRDefault="00C71590" w:rsidP="00C71590">
            <w:r w:rsidRPr="00C71590">
              <w:t>Оплата послуг «Інва-таксі»</w:t>
            </w:r>
          </w:p>
        </w:tc>
        <w:tc>
          <w:tcPr>
            <w:tcW w:w="1620" w:type="dxa"/>
            <w:vAlign w:val="center"/>
          </w:tcPr>
          <w:p w:rsidR="00C71590" w:rsidRPr="00C71590" w:rsidRDefault="00C71590" w:rsidP="00C71590">
            <w:pPr>
              <w:jc w:val="center"/>
            </w:pPr>
            <w:r w:rsidRPr="00C71590">
              <w:t>325,1</w:t>
            </w:r>
          </w:p>
        </w:tc>
        <w:tc>
          <w:tcPr>
            <w:tcW w:w="1998" w:type="dxa"/>
            <w:vAlign w:val="center"/>
          </w:tcPr>
          <w:p w:rsidR="00C71590" w:rsidRPr="00C71590" w:rsidRDefault="00C71590" w:rsidP="00C71590">
            <w:pPr>
              <w:jc w:val="center"/>
              <w:rPr>
                <w:highlight w:val="yellow"/>
              </w:rPr>
            </w:pPr>
            <w:r w:rsidRPr="00C71590">
              <w:t>293,8</w:t>
            </w:r>
          </w:p>
        </w:tc>
        <w:tc>
          <w:tcPr>
            <w:tcW w:w="1800" w:type="dxa"/>
            <w:vAlign w:val="center"/>
          </w:tcPr>
          <w:p w:rsidR="00C71590" w:rsidRPr="00C71590" w:rsidRDefault="00C71590" w:rsidP="00C71590">
            <w:pPr>
              <w:jc w:val="center"/>
              <w:rPr>
                <w:highlight w:val="yellow"/>
              </w:rPr>
            </w:pPr>
            <w:r w:rsidRPr="00C71590">
              <w:t>74,7</w:t>
            </w:r>
          </w:p>
        </w:tc>
      </w:tr>
      <w:tr w:rsidR="00C71590" w:rsidRPr="00C71590" w:rsidTr="002F34D0">
        <w:trPr>
          <w:trHeight w:val="219"/>
        </w:trPr>
        <w:tc>
          <w:tcPr>
            <w:tcW w:w="4361" w:type="dxa"/>
            <w:vAlign w:val="center"/>
          </w:tcPr>
          <w:p w:rsidR="00C71590" w:rsidRPr="00C71590" w:rsidRDefault="00C71590" w:rsidP="00C71590">
            <w:r w:rsidRPr="00C71590">
              <w:lastRenderedPageBreak/>
              <w:t>Соціальне замовлення</w:t>
            </w:r>
          </w:p>
        </w:tc>
        <w:tc>
          <w:tcPr>
            <w:tcW w:w="1620" w:type="dxa"/>
            <w:vAlign w:val="center"/>
          </w:tcPr>
          <w:p w:rsidR="00C71590" w:rsidRPr="00C71590" w:rsidRDefault="00C71590" w:rsidP="00C71590">
            <w:pPr>
              <w:jc w:val="center"/>
            </w:pPr>
            <w:r w:rsidRPr="00C71590">
              <w:t>381,9</w:t>
            </w:r>
          </w:p>
        </w:tc>
        <w:tc>
          <w:tcPr>
            <w:tcW w:w="1998" w:type="dxa"/>
            <w:vAlign w:val="center"/>
          </w:tcPr>
          <w:p w:rsidR="00C71590" w:rsidRPr="00C71590" w:rsidRDefault="00C71590" w:rsidP="00C71590">
            <w:pPr>
              <w:jc w:val="center"/>
            </w:pPr>
            <w:r w:rsidRPr="00C71590">
              <w:t>197,3</w:t>
            </w:r>
          </w:p>
        </w:tc>
        <w:tc>
          <w:tcPr>
            <w:tcW w:w="1800" w:type="dxa"/>
            <w:vAlign w:val="center"/>
          </w:tcPr>
          <w:p w:rsidR="00C71590" w:rsidRPr="00C71590" w:rsidRDefault="00C71590" w:rsidP="00C71590">
            <w:pPr>
              <w:jc w:val="center"/>
            </w:pPr>
            <w:r w:rsidRPr="00C71590">
              <w:t>51,7</w:t>
            </w:r>
          </w:p>
        </w:tc>
      </w:tr>
      <w:tr w:rsidR="00C71590" w:rsidRPr="00C71590" w:rsidTr="002F34D0">
        <w:trPr>
          <w:trHeight w:val="358"/>
        </w:trPr>
        <w:tc>
          <w:tcPr>
            <w:tcW w:w="4361" w:type="dxa"/>
            <w:vAlign w:val="center"/>
          </w:tcPr>
          <w:p w:rsidR="00C71590" w:rsidRPr="00C71590" w:rsidRDefault="00C71590" w:rsidP="00C71590">
            <w:r w:rsidRPr="00C71590">
              <w:t>Матеріальна допомога на поховання деяких категорій осіб (згідно постанови КМУ від 31.01.2007 № 99)</w:t>
            </w:r>
          </w:p>
        </w:tc>
        <w:tc>
          <w:tcPr>
            <w:tcW w:w="1620" w:type="dxa"/>
            <w:vAlign w:val="center"/>
          </w:tcPr>
          <w:p w:rsidR="00C71590" w:rsidRPr="00C71590" w:rsidRDefault="00C71590" w:rsidP="00C71590">
            <w:pPr>
              <w:jc w:val="center"/>
            </w:pPr>
            <w:r w:rsidRPr="00C71590">
              <w:t>404,0</w:t>
            </w:r>
          </w:p>
        </w:tc>
        <w:tc>
          <w:tcPr>
            <w:tcW w:w="1998" w:type="dxa"/>
            <w:vAlign w:val="center"/>
          </w:tcPr>
          <w:p w:rsidR="00C71590" w:rsidRPr="00C71590" w:rsidRDefault="00C71590" w:rsidP="00C71590">
            <w:pPr>
              <w:jc w:val="center"/>
              <w:rPr>
                <w:highlight w:val="yellow"/>
              </w:rPr>
            </w:pPr>
            <w:r w:rsidRPr="00C71590">
              <w:t>343,0</w:t>
            </w:r>
          </w:p>
        </w:tc>
        <w:tc>
          <w:tcPr>
            <w:tcW w:w="1800" w:type="dxa"/>
            <w:vAlign w:val="center"/>
          </w:tcPr>
          <w:p w:rsidR="00C71590" w:rsidRPr="00C71590" w:rsidRDefault="00C71590" w:rsidP="00C71590">
            <w:pPr>
              <w:jc w:val="center"/>
              <w:rPr>
                <w:highlight w:val="yellow"/>
              </w:rPr>
            </w:pPr>
            <w:r w:rsidRPr="00C71590">
              <w:t>84,9</w:t>
            </w:r>
          </w:p>
        </w:tc>
      </w:tr>
      <w:tr w:rsidR="00C71590" w:rsidRPr="00C71590" w:rsidTr="002F34D0">
        <w:trPr>
          <w:trHeight w:val="209"/>
        </w:trPr>
        <w:tc>
          <w:tcPr>
            <w:tcW w:w="4361" w:type="dxa"/>
            <w:vAlign w:val="center"/>
          </w:tcPr>
          <w:p w:rsidR="00C71590" w:rsidRPr="00C71590" w:rsidRDefault="00C71590" w:rsidP="00C71590">
            <w:pPr>
              <w:rPr>
                <w:b/>
                <w:lang w:val="ru-RU"/>
              </w:rPr>
            </w:pPr>
            <w:r w:rsidRPr="00C71590">
              <w:rPr>
                <w:b/>
                <w:lang w:val="ru-RU"/>
              </w:rPr>
              <w:t>М</w:t>
            </w:r>
            <w:r w:rsidRPr="00C71590">
              <w:rPr>
                <w:b/>
              </w:rPr>
              <w:t>іська комплексна програма підтримки учасників антитерористичної операції та членів їх сімей – мешканців м. Черкаси</w:t>
            </w:r>
          </w:p>
        </w:tc>
        <w:tc>
          <w:tcPr>
            <w:tcW w:w="1620" w:type="dxa"/>
            <w:vAlign w:val="center"/>
          </w:tcPr>
          <w:p w:rsidR="00C71590" w:rsidRPr="00C71590" w:rsidRDefault="00C71590" w:rsidP="00C71590">
            <w:pPr>
              <w:jc w:val="center"/>
              <w:rPr>
                <w:b/>
              </w:rPr>
            </w:pPr>
            <w:r w:rsidRPr="00C71590">
              <w:rPr>
                <w:b/>
              </w:rPr>
              <w:t>1480,0</w:t>
            </w:r>
          </w:p>
        </w:tc>
        <w:tc>
          <w:tcPr>
            <w:tcW w:w="1998" w:type="dxa"/>
            <w:vAlign w:val="center"/>
          </w:tcPr>
          <w:p w:rsidR="00C71590" w:rsidRPr="00C71590" w:rsidRDefault="00C71590" w:rsidP="00C71590">
            <w:pPr>
              <w:jc w:val="center"/>
              <w:rPr>
                <w:b/>
              </w:rPr>
            </w:pPr>
            <w:r w:rsidRPr="00C71590">
              <w:rPr>
                <w:b/>
              </w:rPr>
              <w:t>1305,0</w:t>
            </w:r>
          </w:p>
        </w:tc>
        <w:tc>
          <w:tcPr>
            <w:tcW w:w="1800" w:type="dxa"/>
            <w:vAlign w:val="center"/>
          </w:tcPr>
          <w:p w:rsidR="00C71590" w:rsidRPr="00C71590" w:rsidRDefault="00C71590" w:rsidP="00C71590">
            <w:pPr>
              <w:jc w:val="center"/>
              <w:rPr>
                <w:b/>
              </w:rPr>
            </w:pPr>
            <w:r w:rsidRPr="00C71590">
              <w:rPr>
                <w:b/>
              </w:rPr>
              <w:t>88,2</w:t>
            </w:r>
          </w:p>
        </w:tc>
      </w:tr>
      <w:tr w:rsidR="00C71590" w:rsidRPr="00C71590" w:rsidTr="002F34D0">
        <w:trPr>
          <w:trHeight w:val="209"/>
        </w:trPr>
        <w:tc>
          <w:tcPr>
            <w:tcW w:w="4361" w:type="dxa"/>
            <w:vAlign w:val="center"/>
          </w:tcPr>
          <w:p w:rsidR="00C71590" w:rsidRPr="00C71590" w:rsidRDefault="00C71590" w:rsidP="00C71590">
            <w:r w:rsidRPr="00C71590">
              <w:t>Матеріальна допомога на оздоровлення пораненим учасникам АТО</w:t>
            </w:r>
          </w:p>
        </w:tc>
        <w:tc>
          <w:tcPr>
            <w:tcW w:w="1620" w:type="dxa"/>
            <w:vAlign w:val="center"/>
          </w:tcPr>
          <w:p w:rsidR="00C71590" w:rsidRPr="00C71590" w:rsidRDefault="00C71590" w:rsidP="00C71590">
            <w:pPr>
              <w:jc w:val="center"/>
            </w:pPr>
            <w:r w:rsidRPr="00C71590">
              <w:t>500,0</w:t>
            </w:r>
          </w:p>
        </w:tc>
        <w:tc>
          <w:tcPr>
            <w:tcW w:w="1998" w:type="dxa"/>
            <w:vAlign w:val="center"/>
          </w:tcPr>
          <w:p w:rsidR="00C71590" w:rsidRPr="00C71590" w:rsidRDefault="00C71590" w:rsidP="00C71590">
            <w:pPr>
              <w:jc w:val="center"/>
            </w:pPr>
            <w:r w:rsidRPr="00C71590">
              <w:t>325,0</w:t>
            </w:r>
          </w:p>
        </w:tc>
        <w:tc>
          <w:tcPr>
            <w:tcW w:w="1800" w:type="dxa"/>
            <w:vAlign w:val="center"/>
          </w:tcPr>
          <w:p w:rsidR="00C71590" w:rsidRPr="00C71590" w:rsidRDefault="00C71590" w:rsidP="00C71590">
            <w:pPr>
              <w:jc w:val="center"/>
            </w:pPr>
            <w:r w:rsidRPr="00C71590">
              <w:t>65,0</w:t>
            </w:r>
          </w:p>
        </w:tc>
      </w:tr>
      <w:tr w:rsidR="00C71590" w:rsidRPr="00C71590" w:rsidTr="002F34D0">
        <w:trPr>
          <w:trHeight w:val="209"/>
        </w:trPr>
        <w:tc>
          <w:tcPr>
            <w:tcW w:w="4361" w:type="dxa"/>
            <w:vAlign w:val="center"/>
          </w:tcPr>
          <w:p w:rsidR="00C71590" w:rsidRPr="00C71590" w:rsidRDefault="00C71590" w:rsidP="00C71590">
            <w:pPr>
              <w:rPr>
                <w:lang w:val="ru-RU"/>
              </w:rPr>
            </w:pPr>
            <w:r w:rsidRPr="00C71590">
              <w:rPr>
                <w:lang w:val="ru-RU"/>
              </w:rPr>
              <w:t>Матеріальна допомога сім’</w:t>
            </w:r>
            <w:r w:rsidRPr="00C71590">
              <w:t>ям загиблих учасників АТО</w:t>
            </w:r>
            <w:r w:rsidRPr="00C71590">
              <w:rPr>
                <w:lang w:val="ru-RU"/>
              </w:rPr>
              <w:t xml:space="preserve"> </w:t>
            </w:r>
            <w:r w:rsidRPr="00C71590">
              <w:t>на встановлення намогильних споруд для увіковічненя пам</w:t>
            </w:r>
            <w:r w:rsidRPr="00C71590">
              <w:rPr>
                <w:lang w:val="ru-RU"/>
              </w:rPr>
              <w:t xml:space="preserve">’яті про них </w:t>
            </w:r>
          </w:p>
        </w:tc>
        <w:tc>
          <w:tcPr>
            <w:tcW w:w="1620" w:type="dxa"/>
            <w:vAlign w:val="center"/>
          </w:tcPr>
          <w:p w:rsidR="00C71590" w:rsidRPr="00C71590" w:rsidRDefault="00C71590" w:rsidP="00C71590">
            <w:pPr>
              <w:jc w:val="center"/>
            </w:pPr>
            <w:r w:rsidRPr="00C71590">
              <w:t>800,0</w:t>
            </w:r>
          </w:p>
        </w:tc>
        <w:tc>
          <w:tcPr>
            <w:tcW w:w="1998" w:type="dxa"/>
            <w:vAlign w:val="center"/>
          </w:tcPr>
          <w:p w:rsidR="00C71590" w:rsidRPr="00C71590" w:rsidRDefault="00C71590" w:rsidP="00C71590">
            <w:pPr>
              <w:jc w:val="center"/>
            </w:pPr>
            <w:r w:rsidRPr="00C71590">
              <w:t>800,0</w:t>
            </w:r>
          </w:p>
        </w:tc>
        <w:tc>
          <w:tcPr>
            <w:tcW w:w="1800" w:type="dxa"/>
            <w:vAlign w:val="center"/>
          </w:tcPr>
          <w:p w:rsidR="00C71590" w:rsidRPr="00C71590" w:rsidRDefault="00C71590" w:rsidP="00C71590">
            <w:pPr>
              <w:jc w:val="center"/>
            </w:pPr>
            <w:r w:rsidRPr="00C71590">
              <w:t>100,0</w:t>
            </w:r>
          </w:p>
        </w:tc>
      </w:tr>
      <w:tr w:rsidR="00C71590" w:rsidRPr="00C71590" w:rsidTr="002F34D0">
        <w:trPr>
          <w:trHeight w:val="209"/>
        </w:trPr>
        <w:tc>
          <w:tcPr>
            <w:tcW w:w="4361" w:type="dxa"/>
            <w:vAlign w:val="center"/>
          </w:tcPr>
          <w:p w:rsidR="00C71590" w:rsidRPr="00C71590" w:rsidRDefault="00C71590" w:rsidP="00C71590">
            <w:pPr>
              <w:rPr>
                <w:b/>
                <w:lang w:val="ru-RU"/>
              </w:rPr>
            </w:pPr>
            <w:r w:rsidRPr="00C71590">
              <w:rPr>
                <w:lang w:val="ru-RU"/>
              </w:rPr>
              <w:t>Матеріальна допомога сім’</w:t>
            </w:r>
            <w:r w:rsidRPr="00C71590">
              <w:t>ям загиблих учасників АТО на проведення ремонту житла</w:t>
            </w:r>
          </w:p>
        </w:tc>
        <w:tc>
          <w:tcPr>
            <w:tcW w:w="1620" w:type="dxa"/>
            <w:vAlign w:val="center"/>
          </w:tcPr>
          <w:p w:rsidR="00C71590" w:rsidRPr="00C71590" w:rsidRDefault="00C71590" w:rsidP="00C71590">
            <w:pPr>
              <w:jc w:val="center"/>
            </w:pPr>
            <w:r w:rsidRPr="00C71590">
              <w:t>180,0</w:t>
            </w:r>
          </w:p>
        </w:tc>
        <w:tc>
          <w:tcPr>
            <w:tcW w:w="1998" w:type="dxa"/>
            <w:vAlign w:val="center"/>
          </w:tcPr>
          <w:p w:rsidR="00C71590" w:rsidRPr="00C71590" w:rsidRDefault="00C71590" w:rsidP="00C71590">
            <w:pPr>
              <w:jc w:val="center"/>
            </w:pPr>
            <w:r w:rsidRPr="00C71590">
              <w:t>180,0</w:t>
            </w:r>
          </w:p>
        </w:tc>
        <w:tc>
          <w:tcPr>
            <w:tcW w:w="1800" w:type="dxa"/>
            <w:vAlign w:val="center"/>
          </w:tcPr>
          <w:p w:rsidR="00C71590" w:rsidRPr="00C71590" w:rsidRDefault="00C71590" w:rsidP="00C71590">
            <w:pPr>
              <w:jc w:val="center"/>
            </w:pPr>
            <w:r w:rsidRPr="00C71590">
              <w:t>100,0</w:t>
            </w:r>
          </w:p>
        </w:tc>
      </w:tr>
      <w:tr w:rsidR="00C71590" w:rsidRPr="00C71590" w:rsidTr="002F34D0">
        <w:trPr>
          <w:trHeight w:val="209"/>
        </w:trPr>
        <w:tc>
          <w:tcPr>
            <w:tcW w:w="4361" w:type="dxa"/>
            <w:vAlign w:val="center"/>
          </w:tcPr>
          <w:p w:rsidR="00C71590" w:rsidRPr="00C71590" w:rsidRDefault="00C71590" w:rsidP="00C71590">
            <w:pPr>
              <w:rPr>
                <w:b/>
                <w:lang w:val="ru-RU"/>
              </w:rPr>
            </w:pPr>
            <w:r w:rsidRPr="00C71590">
              <w:rPr>
                <w:b/>
                <w:lang w:val="ru-RU"/>
              </w:rPr>
              <w:t>Субвенції з обласного бюджету</w:t>
            </w:r>
          </w:p>
        </w:tc>
        <w:tc>
          <w:tcPr>
            <w:tcW w:w="1620" w:type="dxa"/>
            <w:vAlign w:val="center"/>
          </w:tcPr>
          <w:p w:rsidR="00C71590" w:rsidRPr="00C71590" w:rsidRDefault="00C71590" w:rsidP="00C71590">
            <w:pPr>
              <w:jc w:val="center"/>
              <w:rPr>
                <w:b/>
              </w:rPr>
            </w:pPr>
            <w:r w:rsidRPr="00C71590">
              <w:rPr>
                <w:b/>
              </w:rPr>
              <w:t>509,3</w:t>
            </w:r>
          </w:p>
        </w:tc>
        <w:tc>
          <w:tcPr>
            <w:tcW w:w="1998" w:type="dxa"/>
            <w:vAlign w:val="center"/>
          </w:tcPr>
          <w:p w:rsidR="00C71590" w:rsidRPr="00C71590" w:rsidRDefault="00C71590" w:rsidP="00C71590">
            <w:pPr>
              <w:jc w:val="center"/>
              <w:rPr>
                <w:b/>
              </w:rPr>
            </w:pPr>
            <w:r w:rsidRPr="00C71590">
              <w:rPr>
                <w:b/>
              </w:rPr>
              <w:t>506,0</w:t>
            </w:r>
          </w:p>
        </w:tc>
        <w:tc>
          <w:tcPr>
            <w:tcW w:w="1800" w:type="dxa"/>
            <w:vAlign w:val="center"/>
          </w:tcPr>
          <w:p w:rsidR="00C71590" w:rsidRPr="00C71590" w:rsidRDefault="00C71590" w:rsidP="00C71590">
            <w:pPr>
              <w:jc w:val="center"/>
              <w:rPr>
                <w:b/>
              </w:rPr>
            </w:pPr>
            <w:r w:rsidRPr="00C71590">
              <w:rPr>
                <w:b/>
              </w:rPr>
              <w:t>99,4</w:t>
            </w:r>
          </w:p>
        </w:tc>
      </w:tr>
      <w:tr w:rsidR="00C71590" w:rsidRPr="00C71590" w:rsidTr="002F34D0">
        <w:trPr>
          <w:trHeight w:val="209"/>
        </w:trPr>
        <w:tc>
          <w:tcPr>
            <w:tcW w:w="4361" w:type="dxa"/>
            <w:vAlign w:val="center"/>
          </w:tcPr>
          <w:p w:rsidR="00C71590" w:rsidRPr="00C71590" w:rsidRDefault="00C71590" w:rsidP="00C71590">
            <w:r w:rsidRPr="00C71590">
              <w:rPr>
                <w:lang w:val="ru-RU"/>
              </w:rPr>
              <w:t>Щ</w:t>
            </w:r>
            <w:r w:rsidRPr="00C71590">
              <w:t>омісячна допомога (стипендія) політичним в'язням і репресованим</w:t>
            </w:r>
            <w:r w:rsidRPr="00C71590">
              <w:rPr>
                <w:rFonts w:ascii="Courier New" w:hAnsi="Courier New"/>
              </w:rPr>
              <w:t xml:space="preserve"> </w:t>
            </w:r>
          </w:p>
        </w:tc>
        <w:tc>
          <w:tcPr>
            <w:tcW w:w="1620" w:type="dxa"/>
            <w:vAlign w:val="center"/>
          </w:tcPr>
          <w:p w:rsidR="00C71590" w:rsidRPr="00C71590" w:rsidRDefault="00C71590" w:rsidP="00C71590">
            <w:pPr>
              <w:jc w:val="center"/>
            </w:pPr>
            <w:r w:rsidRPr="00C71590">
              <w:t>159,3</w:t>
            </w:r>
          </w:p>
        </w:tc>
        <w:tc>
          <w:tcPr>
            <w:tcW w:w="1998" w:type="dxa"/>
            <w:vAlign w:val="center"/>
          </w:tcPr>
          <w:p w:rsidR="00C71590" w:rsidRPr="00C71590" w:rsidRDefault="00C71590" w:rsidP="00C71590">
            <w:pPr>
              <w:jc w:val="center"/>
            </w:pPr>
            <w:r w:rsidRPr="00C71590">
              <w:t>156,0</w:t>
            </w:r>
          </w:p>
        </w:tc>
        <w:tc>
          <w:tcPr>
            <w:tcW w:w="1800" w:type="dxa"/>
            <w:vAlign w:val="center"/>
          </w:tcPr>
          <w:p w:rsidR="00C71590" w:rsidRPr="00C71590" w:rsidRDefault="00C71590" w:rsidP="00C71590">
            <w:pPr>
              <w:jc w:val="center"/>
            </w:pPr>
            <w:r w:rsidRPr="00C71590">
              <w:t>97,9</w:t>
            </w:r>
          </w:p>
        </w:tc>
      </w:tr>
      <w:tr w:rsidR="00C71590" w:rsidRPr="00C71590" w:rsidTr="002F34D0">
        <w:trPr>
          <w:trHeight w:val="209"/>
        </w:trPr>
        <w:tc>
          <w:tcPr>
            <w:tcW w:w="4361" w:type="dxa"/>
            <w:vAlign w:val="center"/>
          </w:tcPr>
          <w:p w:rsidR="00C71590" w:rsidRPr="00C71590" w:rsidRDefault="00C71590" w:rsidP="00C71590">
            <w:r w:rsidRPr="00C71590">
              <w:t>Одноразова матеріальної допомоги одному з членів сім’ї загиблого в ході антитерористичної операції в східних регіонах України</w:t>
            </w:r>
          </w:p>
        </w:tc>
        <w:tc>
          <w:tcPr>
            <w:tcW w:w="1620" w:type="dxa"/>
            <w:vAlign w:val="center"/>
          </w:tcPr>
          <w:p w:rsidR="00C71590" w:rsidRPr="00C71590" w:rsidRDefault="00C71590" w:rsidP="00C71590">
            <w:pPr>
              <w:jc w:val="center"/>
            </w:pPr>
            <w:r w:rsidRPr="00C71590">
              <w:t>350,0</w:t>
            </w:r>
          </w:p>
        </w:tc>
        <w:tc>
          <w:tcPr>
            <w:tcW w:w="1998" w:type="dxa"/>
            <w:vAlign w:val="center"/>
          </w:tcPr>
          <w:p w:rsidR="00C71590" w:rsidRPr="00C71590" w:rsidRDefault="00C71590" w:rsidP="00C71590">
            <w:pPr>
              <w:jc w:val="center"/>
            </w:pPr>
            <w:r w:rsidRPr="00C71590">
              <w:t>350,0</w:t>
            </w:r>
          </w:p>
        </w:tc>
        <w:tc>
          <w:tcPr>
            <w:tcW w:w="1800" w:type="dxa"/>
            <w:vAlign w:val="center"/>
          </w:tcPr>
          <w:p w:rsidR="00C71590" w:rsidRPr="00C71590" w:rsidRDefault="00C71590" w:rsidP="00C71590">
            <w:pPr>
              <w:jc w:val="center"/>
            </w:pPr>
            <w:r w:rsidRPr="00C71590">
              <w:t>100,0</w:t>
            </w:r>
          </w:p>
        </w:tc>
      </w:tr>
      <w:tr w:rsidR="00C71590" w:rsidRPr="00C71590" w:rsidTr="002F34D0">
        <w:trPr>
          <w:trHeight w:val="209"/>
        </w:trPr>
        <w:tc>
          <w:tcPr>
            <w:tcW w:w="4361" w:type="dxa"/>
            <w:vAlign w:val="center"/>
          </w:tcPr>
          <w:p w:rsidR="00C71590" w:rsidRPr="00C71590" w:rsidRDefault="00C71590" w:rsidP="00C71590">
            <w:pPr>
              <w:rPr>
                <w:b/>
              </w:rPr>
            </w:pPr>
            <w:r w:rsidRPr="00C71590">
              <w:rPr>
                <w:b/>
              </w:rPr>
              <w:t>Всього:</w:t>
            </w:r>
          </w:p>
        </w:tc>
        <w:tc>
          <w:tcPr>
            <w:tcW w:w="1620" w:type="dxa"/>
            <w:vAlign w:val="center"/>
          </w:tcPr>
          <w:p w:rsidR="00C71590" w:rsidRPr="00C71590" w:rsidRDefault="00C71590" w:rsidP="00C71590">
            <w:pPr>
              <w:jc w:val="center"/>
              <w:rPr>
                <w:b/>
              </w:rPr>
            </w:pPr>
            <w:r w:rsidRPr="00C71590">
              <w:rPr>
                <w:b/>
              </w:rPr>
              <w:t>4817,6</w:t>
            </w:r>
          </w:p>
        </w:tc>
        <w:tc>
          <w:tcPr>
            <w:tcW w:w="1998" w:type="dxa"/>
            <w:vAlign w:val="center"/>
          </w:tcPr>
          <w:p w:rsidR="00C71590" w:rsidRPr="00C71590" w:rsidRDefault="00C71590" w:rsidP="00C71590">
            <w:pPr>
              <w:jc w:val="center"/>
              <w:rPr>
                <w:b/>
              </w:rPr>
            </w:pPr>
            <w:r w:rsidRPr="00C71590">
              <w:rPr>
                <w:b/>
              </w:rPr>
              <w:t>4325,0</w:t>
            </w:r>
          </w:p>
        </w:tc>
        <w:tc>
          <w:tcPr>
            <w:tcW w:w="1800" w:type="dxa"/>
            <w:vAlign w:val="center"/>
          </w:tcPr>
          <w:p w:rsidR="00C71590" w:rsidRPr="00C71590" w:rsidRDefault="00C71590" w:rsidP="00C71590">
            <w:pPr>
              <w:jc w:val="center"/>
              <w:rPr>
                <w:b/>
              </w:rPr>
            </w:pPr>
            <w:r w:rsidRPr="00C71590">
              <w:rPr>
                <w:b/>
              </w:rPr>
              <w:t>89,8</w:t>
            </w:r>
          </w:p>
        </w:tc>
      </w:tr>
    </w:tbl>
    <w:p w:rsidR="00C71590" w:rsidRPr="00C71590" w:rsidRDefault="00C71590" w:rsidP="00C71590">
      <w:pPr>
        <w:ind w:firstLine="550"/>
        <w:jc w:val="both"/>
      </w:pPr>
      <w:r w:rsidRPr="00C71590">
        <w:t>В порівнянні з відповідним періодом минулого року видатки збільшились на 1246,2 тис.грн., або на 40,5 відс. за рахунок надання матеріальної допомоги на оздоровлення пораненим учасникам антитерористичної операції, матеріальної допомоги сім</w:t>
      </w:r>
      <w:r w:rsidRPr="00C71590">
        <w:rPr>
          <w:lang w:val="ru-RU"/>
        </w:rPr>
        <w:t xml:space="preserve">’ям загиблих учасників </w:t>
      </w:r>
      <w:r w:rsidRPr="00C71590">
        <w:t>АТО на встановлення намогильних споруд та ремонт житла.</w:t>
      </w:r>
    </w:p>
    <w:p w:rsidR="00C71590" w:rsidRPr="00C71590" w:rsidRDefault="00C71590" w:rsidP="00C71590">
      <w:pPr>
        <w:ind w:firstLine="540"/>
        <w:jc w:val="both"/>
        <w:rPr>
          <w:lang w:val="ru-RU"/>
        </w:rPr>
      </w:pPr>
      <w:r w:rsidRPr="00C71590">
        <w:t>Дебіторська та кредиторська заборгованість по загальному фонду станом на 01.01.2016 відсутня.</w:t>
      </w:r>
    </w:p>
    <w:p w:rsidR="00C71590" w:rsidRPr="00C71590" w:rsidRDefault="00C71590" w:rsidP="00C71590">
      <w:pPr>
        <w:ind w:left="181"/>
        <w:jc w:val="center"/>
        <w:rPr>
          <w:b/>
          <w:i/>
          <w:highlight w:val="yellow"/>
          <w:u w:val="single"/>
        </w:rPr>
      </w:pPr>
    </w:p>
    <w:p w:rsidR="00C71590" w:rsidRPr="00C71590" w:rsidRDefault="00C71590" w:rsidP="00C71590">
      <w:pPr>
        <w:ind w:left="181"/>
        <w:jc w:val="center"/>
        <w:rPr>
          <w:b/>
          <w:i/>
          <w:u w:val="single"/>
        </w:rPr>
      </w:pPr>
      <w:r w:rsidRPr="00C71590">
        <w:rPr>
          <w:b/>
          <w:i/>
          <w:u w:val="single"/>
        </w:rPr>
        <w:t xml:space="preserve">Виплата  компенсації  фізичним  особам,  </w:t>
      </w:r>
    </w:p>
    <w:p w:rsidR="00C71590" w:rsidRPr="00C71590" w:rsidRDefault="00C71590" w:rsidP="00C71590">
      <w:pPr>
        <w:ind w:left="181"/>
        <w:jc w:val="center"/>
        <w:rPr>
          <w:b/>
          <w:i/>
          <w:u w:val="single"/>
        </w:rPr>
      </w:pPr>
      <w:r w:rsidRPr="00C71590">
        <w:rPr>
          <w:b/>
          <w:i/>
          <w:u w:val="single"/>
        </w:rPr>
        <w:t>які  надають  соціальні  послуги  по догляду за інвалідами (КТКВК 091205)</w:t>
      </w:r>
    </w:p>
    <w:p w:rsidR="00C71590" w:rsidRPr="00C71590" w:rsidRDefault="00C71590" w:rsidP="00C71590">
      <w:pPr>
        <w:spacing w:before="60"/>
        <w:ind w:firstLine="539"/>
        <w:jc w:val="both"/>
      </w:pPr>
      <w:r w:rsidRPr="00C71590">
        <w:t xml:space="preserve">На виплату компенсацій фізичним особам, які надають соціальні послуги по догляду за інвалідами в бюджеті міста на 2015 рік передбачені видатки у сумі 1423,9 тис.грн., касові видатки за 2015 рік становлять 1322,5 тис.грн., або 92,9 відс. до річних призначень. </w:t>
      </w:r>
    </w:p>
    <w:p w:rsidR="00C71590" w:rsidRPr="00C71590" w:rsidRDefault="00C71590" w:rsidP="00C71590">
      <w:pPr>
        <w:spacing w:before="60"/>
        <w:ind w:firstLine="539"/>
        <w:jc w:val="both"/>
        <w:rPr>
          <w:lang w:val="ru-RU"/>
        </w:rPr>
      </w:pPr>
      <w:r w:rsidRPr="00C71590">
        <w:t xml:space="preserve">В порівнянні з відповідним періодом минулого року видатки зменшились на 768,5 тис.грн., або на 36,8 відс. у зв’язку з тим, що протягом 2015 року погашалась кредиторська заборгованість, яка утворилась на 01.01.2014, станом на 01.01.2015 кредиторська заборгованість відсутня. </w:t>
      </w:r>
    </w:p>
    <w:p w:rsidR="00C71590" w:rsidRPr="00C71590" w:rsidRDefault="00C71590" w:rsidP="00C71590">
      <w:pPr>
        <w:ind w:firstLine="540"/>
        <w:jc w:val="both"/>
        <w:rPr>
          <w:lang w:val="ru-RU"/>
        </w:rPr>
      </w:pPr>
      <w:r w:rsidRPr="00C71590">
        <w:t>Дебіторська та кредиторська заборгованість по загальному фонду станом на 01.01.2016 відсутня.</w:t>
      </w:r>
    </w:p>
    <w:p w:rsidR="00C71590" w:rsidRPr="00C71590" w:rsidRDefault="00C71590" w:rsidP="00C71590">
      <w:pPr>
        <w:ind w:firstLine="540"/>
        <w:jc w:val="both"/>
        <w:rPr>
          <w:highlight w:val="yellow"/>
        </w:rPr>
      </w:pPr>
    </w:p>
    <w:p w:rsidR="00C71590" w:rsidRPr="00C71590" w:rsidRDefault="00C71590" w:rsidP="00C71590">
      <w:pPr>
        <w:tabs>
          <w:tab w:val="center" w:pos="4698"/>
        </w:tabs>
        <w:jc w:val="center"/>
        <w:rPr>
          <w:b/>
          <w:i/>
          <w:u w:val="single"/>
        </w:rPr>
      </w:pPr>
      <w:r w:rsidRPr="00C71590">
        <w:rPr>
          <w:b/>
          <w:i/>
          <w:u w:val="single"/>
        </w:rPr>
        <w:t xml:space="preserve">Пільги, що надаються населенню (крім ветеранів війни та праці, </w:t>
      </w:r>
    </w:p>
    <w:p w:rsidR="00C71590" w:rsidRPr="00C71590" w:rsidRDefault="00C71590" w:rsidP="00C71590">
      <w:pPr>
        <w:tabs>
          <w:tab w:val="center" w:pos="4698"/>
        </w:tabs>
        <w:jc w:val="center"/>
        <w:rPr>
          <w:b/>
          <w:i/>
          <w:u w:val="single"/>
        </w:rPr>
      </w:pPr>
      <w:r w:rsidRPr="00C71590">
        <w:rPr>
          <w:b/>
          <w:i/>
          <w:u w:val="single"/>
        </w:rPr>
        <w:t>на оплату житлово-комунальних послуг та природного газу) (КТКВК 091207)</w:t>
      </w:r>
    </w:p>
    <w:p w:rsidR="00C71590" w:rsidRPr="00C71590" w:rsidRDefault="00C71590" w:rsidP="00C71590">
      <w:pPr>
        <w:ind w:firstLine="539"/>
        <w:jc w:val="both"/>
      </w:pPr>
      <w:r w:rsidRPr="00C71590">
        <w:t xml:space="preserve">В бюджеті міста на 2015 рік передбачені видатки у сумі 3986,1 тис.грн., в т.ч. за рахунок коштів міського бюджету на фінансування міської соціальної програми «Турбота» - 1344,1 тис.грн., міської комплексної програми підтримки учасників антитерористичної операції та членів їх сімей – мешканців міста Черкаси – 2642,0 тис.грн. </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620"/>
        <w:gridCol w:w="1998"/>
        <w:gridCol w:w="1800"/>
      </w:tblGrid>
      <w:tr w:rsidR="00C71590" w:rsidRPr="00C71590" w:rsidTr="002F34D0">
        <w:tc>
          <w:tcPr>
            <w:tcW w:w="4361" w:type="dxa"/>
          </w:tcPr>
          <w:p w:rsidR="00C71590" w:rsidRPr="00C71590" w:rsidRDefault="00C71590" w:rsidP="00C71590">
            <w:pPr>
              <w:jc w:val="center"/>
              <w:rPr>
                <w:b/>
              </w:rPr>
            </w:pPr>
          </w:p>
          <w:p w:rsidR="00C71590" w:rsidRPr="00C71590" w:rsidRDefault="00C71590" w:rsidP="00C71590">
            <w:pPr>
              <w:jc w:val="center"/>
              <w:rPr>
                <w:b/>
              </w:rPr>
            </w:pPr>
            <w:r w:rsidRPr="00C71590">
              <w:rPr>
                <w:b/>
              </w:rPr>
              <w:t>Назва</w:t>
            </w:r>
          </w:p>
        </w:tc>
        <w:tc>
          <w:tcPr>
            <w:tcW w:w="1620" w:type="dxa"/>
          </w:tcPr>
          <w:p w:rsidR="00C71590" w:rsidRPr="00C71590" w:rsidRDefault="00C71590" w:rsidP="00C71590">
            <w:pPr>
              <w:jc w:val="center"/>
              <w:rPr>
                <w:b/>
              </w:rPr>
            </w:pPr>
          </w:p>
          <w:p w:rsidR="00C71590" w:rsidRPr="00C71590" w:rsidRDefault="00C71590" w:rsidP="00C71590">
            <w:pPr>
              <w:jc w:val="center"/>
              <w:rPr>
                <w:b/>
              </w:rPr>
            </w:pPr>
            <w:r w:rsidRPr="00C71590">
              <w:rPr>
                <w:b/>
              </w:rPr>
              <w:t>План річний</w:t>
            </w:r>
          </w:p>
        </w:tc>
        <w:tc>
          <w:tcPr>
            <w:tcW w:w="1998" w:type="dxa"/>
          </w:tcPr>
          <w:p w:rsidR="00C71590" w:rsidRPr="00C71590" w:rsidRDefault="00C71590" w:rsidP="00C71590">
            <w:pPr>
              <w:jc w:val="center"/>
              <w:rPr>
                <w:b/>
              </w:rPr>
            </w:pPr>
            <w:r w:rsidRPr="00C71590">
              <w:rPr>
                <w:b/>
              </w:rPr>
              <w:t xml:space="preserve">Касові видатки за </w:t>
            </w:r>
          </w:p>
          <w:p w:rsidR="00C71590" w:rsidRPr="00C71590" w:rsidRDefault="00C71590" w:rsidP="00C71590">
            <w:pPr>
              <w:jc w:val="center"/>
              <w:rPr>
                <w:b/>
              </w:rPr>
            </w:pPr>
            <w:r w:rsidRPr="00C71590">
              <w:rPr>
                <w:b/>
              </w:rPr>
              <w:t>201</w:t>
            </w:r>
            <w:r w:rsidRPr="00C71590">
              <w:rPr>
                <w:b/>
                <w:lang w:val="ru-RU"/>
              </w:rPr>
              <w:t>5 рік</w:t>
            </w:r>
            <w:r w:rsidRPr="00C71590">
              <w:rPr>
                <w:b/>
              </w:rPr>
              <w:t xml:space="preserve"> </w:t>
            </w:r>
          </w:p>
        </w:tc>
        <w:tc>
          <w:tcPr>
            <w:tcW w:w="1800" w:type="dxa"/>
          </w:tcPr>
          <w:p w:rsidR="00C71590" w:rsidRPr="00C71590" w:rsidRDefault="00C71590" w:rsidP="00C71590">
            <w:pPr>
              <w:jc w:val="center"/>
              <w:rPr>
                <w:b/>
              </w:rPr>
            </w:pPr>
            <w:r w:rsidRPr="00C71590">
              <w:rPr>
                <w:b/>
              </w:rPr>
              <w:t>% виконання</w:t>
            </w:r>
          </w:p>
          <w:p w:rsidR="00C71590" w:rsidRPr="00C71590" w:rsidRDefault="00C71590" w:rsidP="00C71590">
            <w:pPr>
              <w:jc w:val="center"/>
              <w:rPr>
                <w:b/>
              </w:rPr>
            </w:pPr>
            <w:r w:rsidRPr="00C71590">
              <w:rPr>
                <w:b/>
              </w:rPr>
              <w:t xml:space="preserve">до річного плану </w:t>
            </w:r>
          </w:p>
        </w:tc>
      </w:tr>
      <w:tr w:rsidR="00C71590" w:rsidRPr="00C71590" w:rsidTr="002F34D0">
        <w:tc>
          <w:tcPr>
            <w:tcW w:w="4361" w:type="dxa"/>
          </w:tcPr>
          <w:p w:rsidR="00C71590" w:rsidRPr="00C71590" w:rsidRDefault="00C71590" w:rsidP="00C71590">
            <w:r w:rsidRPr="00C71590">
              <w:lastRenderedPageBreak/>
              <w:t>Міська соціальна програма «Турбота»</w:t>
            </w:r>
          </w:p>
        </w:tc>
        <w:tc>
          <w:tcPr>
            <w:tcW w:w="1620" w:type="dxa"/>
            <w:vAlign w:val="bottom"/>
          </w:tcPr>
          <w:p w:rsidR="00C71590" w:rsidRPr="00C71590" w:rsidRDefault="00C71590" w:rsidP="00C71590">
            <w:pPr>
              <w:jc w:val="center"/>
            </w:pPr>
            <w:r w:rsidRPr="00C71590">
              <w:t>1344,1</w:t>
            </w:r>
          </w:p>
        </w:tc>
        <w:tc>
          <w:tcPr>
            <w:tcW w:w="1998" w:type="dxa"/>
            <w:vAlign w:val="bottom"/>
          </w:tcPr>
          <w:p w:rsidR="00C71590" w:rsidRPr="00C71590" w:rsidRDefault="00C71590" w:rsidP="00C71590">
            <w:pPr>
              <w:jc w:val="center"/>
            </w:pPr>
            <w:r w:rsidRPr="00C71590">
              <w:t>1301,2</w:t>
            </w:r>
          </w:p>
        </w:tc>
        <w:tc>
          <w:tcPr>
            <w:tcW w:w="1800" w:type="dxa"/>
            <w:vAlign w:val="bottom"/>
          </w:tcPr>
          <w:p w:rsidR="00C71590" w:rsidRPr="00C71590" w:rsidRDefault="00C71590" w:rsidP="00C71590">
            <w:pPr>
              <w:jc w:val="center"/>
            </w:pPr>
            <w:r w:rsidRPr="00C71590">
              <w:t>96,8</w:t>
            </w:r>
          </w:p>
        </w:tc>
      </w:tr>
      <w:tr w:rsidR="00C71590" w:rsidRPr="00C71590" w:rsidTr="002F34D0">
        <w:tc>
          <w:tcPr>
            <w:tcW w:w="4361" w:type="dxa"/>
          </w:tcPr>
          <w:p w:rsidR="00C71590" w:rsidRPr="00C71590" w:rsidRDefault="00C71590" w:rsidP="00C71590">
            <w:r w:rsidRPr="00C71590">
              <w:rPr>
                <w:lang w:val="ru-RU"/>
              </w:rPr>
              <w:t>К</w:t>
            </w:r>
            <w:r w:rsidRPr="00C71590">
              <w:t>омплексної програми підтримки учасників антитерористичної операції та членів їх сімей – мешканців міста Черкаси</w:t>
            </w:r>
          </w:p>
        </w:tc>
        <w:tc>
          <w:tcPr>
            <w:tcW w:w="1620" w:type="dxa"/>
            <w:vAlign w:val="bottom"/>
          </w:tcPr>
          <w:p w:rsidR="00C71590" w:rsidRPr="00C71590" w:rsidRDefault="00C71590" w:rsidP="00C71590">
            <w:pPr>
              <w:jc w:val="center"/>
            </w:pPr>
            <w:r w:rsidRPr="00C71590">
              <w:t>2642,0</w:t>
            </w:r>
          </w:p>
        </w:tc>
        <w:tc>
          <w:tcPr>
            <w:tcW w:w="1998" w:type="dxa"/>
            <w:vAlign w:val="bottom"/>
          </w:tcPr>
          <w:p w:rsidR="00C71590" w:rsidRPr="00C71590" w:rsidRDefault="00C71590" w:rsidP="00C71590">
            <w:pPr>
              <w:jc w:val="center"/>
            </w:pPr>
            <w:r w:rsidRPr="00C71590">
              <w:t>458,4</w:t>
            </w:r>
          </w:p>
        </w:tc>
        <w:tc>
          <w:tcPr>
            <w:tcW w:w="1800" w:type="dxa"/>
            <w:vAlign w:val="bottom"/>
          </w:tcPr>
          <w:p w:rsidR="00C71590" w:rsidRPr="00C71590" w:rsidRDefault="00C71590" w:rsidP="00C71590">
            <w:pPr>
              <w:jc w:val="center"/>
            </w:pPr>
            <w:r w:rsidRPr="00C71590">
              <w:t>17,4</w:t>
            </w:r>
          </w:p>
        </w:tc>
      </w:tr>
      <w:tr w:rsidR="00C71590" w:rsidRPr="00C71590" w:rsidTr="002F34D0">
        <w:tc>
          <w:tcPr>
            <w:tcW w:w="4361" w:type="dxa"/>
          </w:tcPr>
          <w:p w:rsidR="00C71590" w:rsidRPr="00C71590" w:rsidRDefault="00C71590" w:rsidP="00C71590">
            <w:pPr>
              <w:rPr>
                <w:b/>
              </w:rPr>
            </w:pPr>
            <w:r w:rsidRPr="00C71590">
              <w:rPr>
                <w:b/>
              </w:rPr>
              <w:t>Всього:</w:t>
            </w:r>
          </w:p>
        </w:tc>
        <w:tc>
          <w:tcPr>
            <w:tcW w:w="1620" w:type="dxa"/>
          </w:tcPr>
          <w:p w:rsidR="00C71590" w:rsidRPr="00C71590" w:rsidRDefault="00C71590" w:rsidP="00C71590">
            <w:pPr>
              <w:jc w:val="center"/>
              <w:rPr>
                <w:b/>
              </w:rPr>
            </w:pPr>
            <w:r w:rsidRPr="00C71590">
              <w:rPr>
                <w:b/>
              </w:rPr>
              <w:t>3986,1</w:t>
            </w:r>
          </w:p>
        </w:tc>
        <w:tc>
          <w:tcPr>
            <w:tcW w:w="1998" w:type="dxa"/>
          </w:tcPr>
          <w:p w:rsidR="00C71590" w:rsidRPr="00C71590" w:rsidRDefault="00C71590" w:rsidP="00C71590">
            <w:pPr>
              <w:jc w:val="center"/>
              <w:rPr>
                <w:b/>
              </w:rPr>
            </w:pPr>
            <w:r w:rsidRPr="00C71590">
              <w:rPr>
                <w:b/>
              </w:rPr>
              <w:t>1759,6</w:t>
            </w:r>
          </w:p>
        </w:tc>
        <w:tc>
          <w:tcPr>
            <w:tcW w:w="1800" w:type="dxa"/>
          </w:tcPr>
          <w:p w:rsidR="00C71590" w:rsidRPr="00C71590" w:rsidRDefault="00C71590" w:rsidP="00C71590">
            <w:pPr>
              <w:jc w:val="center"/>
              <w:rPr>
                <w:b/>
              </w:rPr>
            </w:pPr>
            <w:r w:rsidRPr="00C71590">
              <w:rPr>
                <w:b/>
              </w:rPr>
              <w:t>44,1</w:t>
            </w:r>
          </w:p>
        </w:tc>
      </w:tr>
    </w:tbl>
    <w:p w:rsidR="00C71590" w:rsidRPr="00C71590" w:rsidRDefault="00C71590" w:rsidP="00C71590">
      <w:pPr>
        <w:ind w:firstLine="540"/>
        <w:jc w:val="both"/>
      </w:pPr>
      <w:r w:rsidRPr="00C71590">
        <w:t xml:space="preserve">В порівнянні з відповідним періодом минулого року видатки збільшились на 827,8 тис.грн., або в 1,9 рази, що пояснюється підвищенням тарифів на житлово-комунальні послуги для населення, наданням пільг на житлово-комунальні послуги за рахунок міського бюджету учасника АТО та членам їх сімей. </w:t>
      </w:r>
    </w:p>
    <w:p w:rsidR="00C71590" w:rsidRPr="00C71590" w:rsidRDefault="00C71590" w:rsidP="00C71590">
      <w:pPr>
        <w:ind w:firstLine="540"/>
        <w:jc w:val="both"/>
        <w:rPr>
          <w:lang w:val="ru-RU"/>
        </w:rPr>
      </w:pPr>
      <w:r w:rsidRPr="00C71590">
        <w:t>Дебіторська та кредиторська заборгованість по загальному фонду станом на 01.01.2016 відсутня.</w:t>
      </w:r>
    </w:p>
    <w:p w:rsidR="00C71590" w:rsidRPr="00C71590" w:rsidRDefault="00C71590" w:rsidP="00C71590">
      <w:pPr>
        <w:ind w:firstLine="540"/>
        <w:jc w:val="both"/>
        <w:rPr>
          <w:highlight w:val="yellow"/>
        </w:rPr>
      </w:pPr>
    </w:p>
    <w:p w:rsidR="00C71590" w:rsidRPr="00C71590" w:rsidRDefault="00C71590" w:rsidP="00C71590">
      <w:pPr>
        <w:jc w:val="center"/>
        <w:rPr>
          <w:b/>
          <w:i/>
          <w:iCs/>
          <w:u w:val="single"/>
          <w:lang w:eastAsia="x-none"/>
        </w:rPr>
      </w:pPr>
      <w:r w:rsidRPr="00C71590">
        <w:rPr>
          <w:b/>
          <w:i/>
          <w:iCs/>
          <w:u w:val="single"/>
          <w:lang w:eastAsia="x-none"/>
        </w:rPr>
        <w:t xml:space="preserve">Фінансова підтримка громадських організацій, </w:t>
      </w:r>
    </w:p>
    <w:p w:rsidR="00C71590" w:rsidRPr="00C71590" w:rsidRDefault="00C71590" w:rsidP="00C71590">
      <w:pPr>
        <w:jc w:val="center"/>
        <w:rPr>
          <w:b/>
          <w:i/>
          <w:iCs/>
          <w:u w:val="single"/>
          <w:lang w:eastAsia="x-none"/>
        </w:rPr>
      </w:pPr>
      <w:r w:rsidRPr="00C71590">
        <w:rPr>
          <w:b/>
          <w:i/>
          <w:iCs/>
          <w:u w:val="single"/>
          <w:lang w:eastAsia="x-none"/>
        </w:rPr>
        <w:t>інвалідів та ветеранів (КТКВК 091209)</w:t>
      </w:r>
    </w:p>
    <w:p w:rsidR="00C71590" w:rsidRPr="00C71590" w:rsidRDefault="00C71590" w:rsidP="00C71590">
      <w:pPr>
        <w:ind w:firstLine="540"/>
        <w:jc w:val="both"/>
        <w:rPr>
          <w:iCs/>
        </w:rPr>
      </w:pPr>
      <w:r w:rsidRPr="00C71590">
        <w:rPr>
          <w:bCs/>
        </w:rPr>
        <w:t xml:space="preserve">На фінансову підтримку громадських організацій інвалідів та ветеранів за 2015 рік спрямовано 264,7 тис.грн., що складає </w:t>
      </w:r>
      <w:r w:rsidRPr="00C71590">
        <w:rPr>
          <w:bCs/>
          <w:lang w:val="ru-RU"/>
        </w:rPr>
        <w:t>100,0</w:t>
      </w:r>
      <w:r w:rsidRPr="00C71590">
        <w:rPr>
          <w:bCs/>
        </w:rPr>
        <w:t xml:space="preserve"> відс. до річних призначень, </w:t>
      </w:r>
      <w:r w:rsidRPr="00C71590">
        <w:t>в тому числі виділено кошти:</w:t>
      </w:r>
    </w:p>
    <w:p w:rsidR="00C71590" w:rsidRPr="00C71590" w:rsidRDefault="00C71590" w:rsidP="00C71590">
      <w:pPr>
        <w:ind w:firstLine="567"/>
        <w:jc w:val="both"/>
      </w:pPr>
      <w:r w:rsidRPr="00C71590">
        <w:t xml:space="preserve">   - міська громадська організація ветеранів у сумі 130,7 тис.грн.;</w:t>
      </w:r>
    </w:p>
    <w:p w:rsidR="00C71590" w:rsidRPr="00C71590" w:rsidRDefault="00C71590" w:rsidP="00C71590">
      <w:pPr>
        <w:ind w:left="180" w:firstLine="567"/>
        <w:jc w:val="both"/>
      </w:pPr>
      <w:r w:rsidRPr="00C71590">
        <w:t>- міська організація Всеукраїнського об’єднання ветеранів у сумі 53,4 тис.грн.;</w:t>
      </w:r>
    </w:p>
    <w:p w:rsidR="00C71590" w:rsidRPr="00C71590" w:rsidRDefault="00C71590" w:rsidP="00C71590">
      <w:pPr>
        <w:ind w:left="180" w:firstLine="567"/>
        <w:jc w:val="both"/>
      </w:pPr>
      <w:r w:rsidRPr="00C71590">
        <w:t>- міська спілка ветеранів Афганістану у сумі 80,6 тис.грн;</w:t>
      </w:r>
    </w:p>
    <w:p w:rsidR="00C71590" w:rsidRPr="00C71590" w:rsidRDefault="00C71590" w:rsidP="00C71590">
      <w:pPr>
        <w:ind w:firstLine="567"/>
        <w:jc w:val="both"/>
        <w:rPr>
          <w:lang w:eastAsia="x-none"/>
        </w:rPr>
      </w:pPr>
      <w:r w:rsidRPr="00C71590">
        <w:rPr>
          <w:bCs/>
          <w:lang w:eastAsia="x-none"/>
        </w:rPr>
        <w:t>В</w:t>
      </w:r>
      <w:r w:rsidRPr="00C71590">
        <w:rPr>
          <w:lang w:eastAsia="x-none"/>
        </w:rPr>
        <w:t xml:space="preserve"> порівнянні з 2014 роком видатки зменшились на 16,9 тис.грн. в зв’язку із зменшенням кількості громадських організацій, які отримують фінансову підтримку з міського бюджету.</w:t>
      </w:r>
    </w:p>
    <w:p w:rsidR="00C71590" w:rsidRPr="00C71590" w:rsidRDefault="00C71590" w:rsidP="00C71590">
      <w:pPr>
        <w:ind w:firstLine="540"/>
        <w:jc w:val="both"/>
        <w:rPr>
          <w:lang w:val="ru-RU"/>
        </w:rPr>
      </w:pPr>
      <w:r w:rsidRPr="00C71590">
        <w:t>Дебіторська та кредиторська заборгованість по загальному фонду станом на 01.01.2016 відсутня.</w:t>
      </w:r>
    </w:p>
    <w:p w:rsidR="00C71590" w:rsidRPr="00C71590" w:rsidRDefault="00C71590" w:rsidP="00C71590">
      <w:pPr>
        <w:ind w:firstLine="540"/>
        <w:jc w:val="both"/>
        <w:rPr>
          <w:bCs/>
          <w:highlight w:val="yellow"/>
          <w:lang w:eastAsia="x-none"/>
        </w:rPr>
      </w:pPr>
    </w:p>
    <w:p w:rsidR="00C71590" w:rsidRPr="00C71590" w:rsidRDefault="00C71590" w:rsidP="00C71590">
      <w:pPr>
        <w:jc w:val="center"/>
        <w:rPr>
          <w:b/>
          <w:bCs/>
          <w:i/>
          <w:u w:val="single"/>
        </w:rPr>
      </w:pPr>
      <w:r w:rsidRPr="00C71590">
        <w:rPr>
          <w:b/>
          <w:bCs/>
          <w:i/>
          <w:u w:val="single"/>
        </w:rPr>
        <w:t xml:space="preserve">Пільги на медичне обслуговування громадян, </w:t>
      </w:r>
    </w:p>
    <w:p w:rsidR="00C71590" w:rsidRPr="00C71590" w:rsidRDefault="00C71590" w:rsidP="00C71590">
      <w:pPr>
        <w:jc w:val="center"/>
        <w:rPr>
          <w:b/>
          <w:bCs/>
          <w:i/>
          <w:u w:val="single"/>
        </w:rPr>
      </w:pPr>
      <w:r w:rsidRPr="00C71590">
        <w:rPr>
          <w:b/>
          <w:bCs/>
          <w:i/>
          <w:u w:val="single"/>
        </w:rPr>
        <w:t>які постраждали внаслідок Чорнобильської катастрофи (КТКВК 090212)</w:t>
      </w:r>
    </w:p>
    <w:p w:rsidR="00C71590" w:rsidRPr="00C71590" w:rsidRDefault="00C71590" w:rsidP="00C71590">
      <w:pPr>
        <w:ind w:firstLine="567"/>
        <w:jc w:val="both"/>
        <w:rPr>
          <w:lang w:eastAsia="x-none"/>
        </w:rPr>
      </w:pPr>
      <w:r w:rsidRPr="00C71590">
        <w:rPr>
          <w:lang w:eastAsia="x-none"/>
        </w:rPr>
        <w:t>В бюджеті міста на 2015 рік передбачені видатки на надання пільг на медичне обслуговування громадян, які постраждали внаслідок Чорнобильської катастрофи у сумі 1359,2 тис.грн., в тому числі за рахунок субвенції з обласного бюджету у сумі 987,6 тис.грн. та за рахунок коштів міського бюджету – 371,6 тис.грн.</w:t>
      </w:r>
    </w:p>
    <w:p w:rsidR="00C71590" w:rsidRPr="00C71590" w:rsidRDefault="00C71590" w:rsidP="00C71590">
      <w:pPr>
        <w:ind w:firstLine="567"/>
        <w:jc w:val="both"/>
        <w:rPr>
          <w:lang w:eastAsia="x-none"/>
        </w:rPr>
      </w:pPr>
      <w:r w:rsidRPr="00C71590">
        <w:rPr>
          <w:lang w:eastAsia="x-none"/>
        </w:rPr>
        <w:t>За 2015 рік касові видатки складають 1348,7 тис.грн., або 99,2 відс. до річних призначень, в тому числі за рахунок субвенції з обласного бюджету у сумі 987,6 тис.грн. та за рахунок коштів міського бюджету – 361,1 тис.грн. В порівнянні з 2014 роком видатки збільшились на 232,5 тис. грн. або на 20,8 відс. у зв’язку із збільшенням фінансового ресурсу за рахунок коштів міського бюджет.</w:t>
      </w:r>
    </w:p>
    <w:p w:rsidR="00C71590" w:rsidRPr="00C71590" w:rsidRDefault="00C71590" w:rsidP="00C71590">
      <w:pPr>
        <w:ind w:firstLine="540"/>
        <w:jc w:val="both"/>
        <w:rPr>
          <w:lang w:val="ru-RU"/>
        </w:rPr>
      </w:pPr>
      <w:r w:rsidRPr="00C71590">
        <w:t>Дебіторська та кредиторська заборгованість по загальному фонду станом на 01.01.2016 відсутня.</w:t>
      </w:r>
    </w:p>
    <w:p w:rsidR="00C71590" w:rsidRPr="00C71590" w:rsidRDefault="00C71590" w:rsidP="00C71590">
      <w:pPr>
        <w:widowControl w:val="0"/>
        <w:ind w:left="181"/>
        <w:jc w:val="center"/>
        <w:rPr>
          <w:b/>
          <w:i/>
          <w:highlight w:val="yellow"/>
          <w:u w:val="single"/>
          <w:lang w:eastAsia="x-none"/>
        </w:rPr>
      </w:pPr>
    </w:p>
    <w:p w:rsidR="00C71590" w:rsidRPr="00C71590" w:rsidRDefault="00C71590" w:rsidP="00C71590">
      <w:pPr>
        <w:ind w:firstLine="539"/>
        <w:jc w:val="center"/>
        <w:rPr>
          <w:b/>
          <w:i/>
          <w:u w:val="single"/>
        </w:rPr>
      </w:pPr>
      <w:r w:rsidRPr="00C71590">
        <w:rPr>
          <w:b/>
          <w:i/>
          <w:u w:val="single"/>
        </w:rPr>
        <w:t>Поховання учасників бойових дій (КТКВК 090417)</w:t>
      </w:r>
    </w:p>
    <w:p w:rsidR="00C71590" w:rsidRPr="00C71590" w:rsidRDefault="00C71590" w:rsidP="00C71590">
      <w:pPr>
        <w:ind w:firstLine="567"/>
        <w:jc w:val="both"/>
      </w:pPr>
      <w:r w:rsidRPr="00C71590">
        <w:rPr>
          <w:bCs/>
        </w:rPr>
        <w:t xml:space="preserve">В бюджеті міста на 2015 рік передбачена субвенція з обласного бюджету на </w:t>
      </w:r>
      <w:r w:rsidRPr="00C71590">
        <w:t>поховання учасників бойових дій у сумі 193,0 тис.грн., касові видатки складають 184,3 тис.грн., або 95,5 відс. до річних призначень.</w:t>
      </w:r>
    </w:p>
    <w:p w:rsidR="00C71590" w:rsidRPr="00C71590" w:rsidRDefault="00C71590" w:rsidP="00C71590">
      <w:pPr>
        <w:ind w:firstLine="567"/>
        <w:jc w:val="both"/>
      </w:pPr>
      <w:r w:rsidRPr="00C71590">
        <w:t xml:space="preserve">В порівнянні з 2014 роком видатки зменшились на 3,7 тис.грн., або на </w:t>
      </w:r>
      <w:r w:rsidRPr="00C71590">
        <w:rPr>
          <w:lang w:val="ru-RU"/>
        </w:rPr>
        <w:t>2,0</w:t>
      </w:r>
      <w:r w:rsidRPr="00C71590">
        <w:t xml:space="preserve"> відс. за рахунок зменшення кількості поховань. </w:t>
      </w:r>
    </w:p>
    <w:p w:rsidR="00C71590" w:rsidRPr="00C71590" w:rsidRDefault="00C71590" w:rsidP="00C71590">
      <w:pPr>
        <w:ind w:firstLine="540"/>
        <w:jc w:val="both"/>
        <w:rPr>
          <w:lang w:val="ru-RU"/>
        </w:rPr>
      </w:pPr>
      <w:r w:rsidRPr="00C71590">
        <w:t>Дебіторська та кредиторська заборгованість по загальному фонду станом на 01.01.2016 відсутня.</w:t>
      </w:r>
    </w:p>
    <w:p w:rsidR="00C71590" w:rsidRPr="00C71590" w:rsidRDefault="00C71590" w:rsidP="00C71590">
      <w:pPr>
        <w:ind w:firstLine="180"/>
        <w:jc w:val="both"/>
        <w:rPr>
          <w:b/>
          <w:i/>
          <w:highlight w:val="yellow"/>
          <w:u w:val="single"/>
        </w:rPr>
      </w:pPr>
    </w:p>
    <w:p w:rsidR="00C71590" w:rsidRPr="00C71590" w:rsidRDefault="00C71590" w:rsidP="00C71590">
      <w:pPr>
        <w:ind w:left="181"/>
        <w:jc w:val="center"/>
        <w:rPr>
          <w:b/>
          <w:bCs/>
          <w:i/>
          <w:u w:val="single"/>
          <w:lang w:eastAsia="x-none"/>
        </w:rPr>
      </w:pPr>
      <w:r w:rsidRPr="00C71590">
        <w:rPr>
          <w:b/>
          <w:i/>
          <w:u w:val="single"/>
          <w:lang w:eastAsia="x-none"/>
        </w:rPr>
        <w:t>Компенсаційні виплати інвалідам на бензин, ремонт, техобслуговування, автотранспортне обслуговування (КТКВК 091303)</w:t>
      </w:r>
    </w:p>
    <w:p w:rsidR="00C71590" w:rsidRPr="00C71590" w:rsidRDefault="00C71590" w:rsidP="00C71590">
      <w:pPr>
        <w:ind w:firstLine="567"/>
        <w:jc w:val="both"/>
      </w:pPr>
      <w:r w:rsidRPr="00C71590">
        <w:rPr>
          <w:bCs/>
        </w:rPr>
        <w:t>В бюджеті міста на 2015 рік передбачена субвенція з обласного бюджету</w:t>
      </w:r>
      <w:r w:rsidRPr="00C71590">
        <w:t xml:space="preserve"> на компенсаційні виплати інвалідам на бензин, ремонт, техобслуговування, автотранспортне </w:t>
      </w:r>
      <w:r w:rsidRPr="00C71590">
        <w:lastRenderedPageBreak/>
        <w:t>обслуговування у сумі 327,3 тис.грн., касові видатки складають 321,8 тис.грн., або 98,3 відс. до річних призначень.  В порівнянні з 2014 роком видатки зменшились на 3,9 тис.грн., або на 1,2 відс. у зв’язку із зменшенням кількості одержувачів.</w:t>
      </w:r>
    </w:p>
    <w:p w:rsidR="00C71590" w:rsidRPr="00C71590" w:rsidRDefault="00C71590" w:rsidP="00C71590">
      <w:pPr>
        <w:ind w:firstLine="567"/>
        <w:jc w:val="both"/>
        <w:rPr>
          <w:i/>
          <w:iCs/>
          <w:lang w:eastAsia="x-none"/>
        </w:rPr>
      </w:pPr>
      <w:r w:rsidRPr="00C71590">
        <w:rPr>
          <w:lang w:eastAsia="x-none"/>
        </w:rPr>
        <w:t>Дебіторська та кредиторська заборгованість станом на 01.01.2016 відсутня.</w:t>
      </w:r>
    </w:p>
    <w:p w:rsidR="00C71590" w:rsidRPr="00C71590" w:rsidRDefault="00C71590" w:rsidP="00C71590">
      <w:pPr>
        <w:ind w:left="181"/>
        <w:jc w:val="center"/>
        <w:rPr>
          <w:b/>
          <w:i/>
          <w:u w:val="single"/>
          <w:lang w:eastAsia="x-none"/>
        </w:rPr>
      </w:pPr>
    </w:p>
    <w:p w:rsidR="00C71590" w:rsidRPr="00C71590" w:rsidRDefault="00C71590" w:rsidP="00C71590">
      <w:pPr>
        <w:ind w:left="181"/>
        <w:jc w:val="center"/>
        <w:rPr>
          <w:b/>
          <w:i/>
          <w:u w:val="single"/>
          <w:lang w:eastAsia="x-none"/>
        </w:rPr>
      </w:pPr>
      <w:r w:rsidRPr="00C71590">
        <w:rPr>
          <w:b/>
          <w:i/>
          <w:u w:val="single"/>
          <w:lang w:eastAsia="x-none"/>
        </w:rPr>
        <w:t xml:space="preserve">Встановлення телефонів інвалідам I та  II групи загального захворювання </w:t>
      </w:r>
    </w:p>
    <w:p w:rsidR="00C71590" w:rsidRPr="00C71590" w:rsidRDefault="00C71590" w:rsidP="00C71590">
      <w:pPr>
        <w:ind w:left="180"/>
        <w:jc w:val="center"/>
        <w:rPr>
          <w:u w:val="single"/>
          <w:lang w:eastAsia="x-none"/>
        </w:rPr>
      </w:pPr>
      <w:r w:rsidRPr="00C71590">
        <w:rPr>
          <w:b/>
          <w:i/>
          <w:u w:val="single"/>
          <w:lang w:eastAsia="x-none"/>
        </w:rPr>
        <w:t>(КТКВК 091304)</w:t>
      </w:r>
    </w:p>
    <w:p w:rsidR="00C71590" w:rsidRPr="00C71590" w:rsidRDefault="00C71590" w:rsidP="00C71590">
      <w:pPr>
        <w:ind w:firstLine="540"/>
        <w:jc w:val="both"/>
      </w:pPr>
      <w:r w:rsidRPr="00C71590">
        <w:rPr>
          <w:bCs/>
        </w:rPr>
        <w:t>В бюджеті міста на 2015 рік передбачена субвенція з обласного бюджету</w:t>
      </w:r>
      <w:r w:rsidRPr="00C71590">
        <w:t xml:space="preserve"> на встановлення телефонів інвалідам I та  II групи загального захворювання у сумі 2,0 тис.грн.,</w:t>
      </w:r>
      <w:r w:rsidRPr="00C71590">
        <w:rPr>
          <w:bCs/>
        </w:rPr>
        <w:t xml:space="preserve"> </w:t>
      </w:r>
      <w:r w:rsidRPr="00C71590">
        <w:t xml:space="preserve">касові видатки складають 0,3 тис.грн., або 15,0 відс. до річних призначень. </w:t>
      </w:r>
    </w:p>
    <w:p w:rsidR="00C71590" w:rsidRPr="00C71590" w:rsidRDefault="00C71590" w:rsidP="00C71590">
      <w:pPr>
        <w:ind w:firstLine="540"/>
        <w:jc w:val="both"/>
      </w:pPr>
      <w:r w:rsidRPr="00C71590">
        <w:t>В порівнянні з 2014 роком видатки зменшились на 1,0 тис.грн. за рахунок зменшення потреби на встановлення телефонів.</w:t>
      </w:r>
    </w:p>
    <w:p w:rsidR="00C71590" w:rsidRPr="00C71590" w:rsidRDefault="00C71590" w:rsidP="00C71590">
      <w:pPr>
        <w:ind w:firstLine="540"/>
        <w:jc w:val="both"/>
        <w:rPr>
          <w:lang w:eastAsia="x-none"/>
        </w:rPr>
      </w:pPr>
      <w:r w:rsidRPr="00C71590">
        <w:rPr>
          <w:lang w:eastAsia="x-none"/>
        </w:rPr>
        <w:t>Дебіторська та кредиторська заборгованість станом на 01.01.2016 відсутня.</w:t>
      </w:r>
    </w:p>
    <w:p w:rsidR="00C71590" w:rsidRPr="00C71590" w:rsidRDefault="00C71590" w:rsidP="00C71590">
      <w:pPr>
        <w:jc w:val="center"/>
        <w:rPr>
          <w:b/>
          <w:bCs/>
          <w:i/>
          <w:iCs/>
          <w:u w:val="single"/>
          <w:lang w:eastAsia="x-none"/>
        </w:rPr>
      </w:pPr>
    </w:p>
    <w:p w:rsidR="00C71590" w:rsidRPr="00C71590" w:rsidRDefault="00C71590" w:rsidP="00C71590">
      <w:pPr>
        <w:jc w:val="center"/>
        <w:rPr>
          <w:b/>
          <w:bCs/>
          <w:i/>
          <w:iCs/>
          <w:u w:val="single"/>
          <w:lang w:eastAsia="x-none"/>
        </w:rPr>
      </w:pPr>
      <w:r w:rsidRPr="00C71590">
        <w:rPr>
          <w:b/>
          <w:bCs/>
          <w:i/>
          <w:iCs/>
          <w:u w:val="single"/>
          <w:lang w:eastAsia="x-none"/>
        </w:rPr>
        <w:t xml:space="preserve">Молодіжні програми </w:t>
      </w:r>
    </w:p>
    <w:p w:rsidR="00C71590" w:rsidRPr="00C71590" w:rsidRDefault="00C71590" w:rsidP="00C71590">
      <w:pPr>
        <w:ind w:firstLine="567"/>
        <w:jc w:val="both"/>
        <w:rPr>
          <w:lang w:eastAsia="x-none"/>
        </w:rPr>
      </w:pPr>
      <w:r w:rsidRPr="00C71590">
        <w:rPr>
          <w:lang w:eastAsia="x-none"/>
        </w:rPr>
        <w:t xml:space="preserve">Головним розпорядником коштів по соціальних програмах  у галузі сім’ї, жінок, молоді та дітей визначено департамент освіти та гуманітарної політики, якому підпорядковані наступні установи: Центр соціальних служб для сім’ї, дітей та молоді та Палац молоді. </w:t>
      </w:r>
    </w:p>
    <w:p w:rsidR="00C71590" w:rsidRPr="00C71590" w:rsidRDefault="00C71590" w:rsidP="00C71590">
      <w:pPr>
        <w:widowControl w:val="0"/>
        <w:ind w:firstLine="567"/>
        <w:jc w:val="both"/>
        <w:rPr>
          <w:rFonts w:eastAsia="MS Mincho"/>
          <w:lang w:eastAsia="x-none"/>
        </w:rPr>
      </w:pPr>
      <w:r w:rsidRPr="00C71590">
        <w:rPr>
          <w:rFonts w:eastAsia="MS Mincho"/>
          <w:lang w:eastAsia="x-none"/>
        </w:rPr>
        <w:t xml:space="preserve">На утримання установ галузі за 2015 рік касові видатки склали 5820,7 тис.грн., в т.ч. по загальному фонду – 5389,3 тис.грн., або 97,6 відс. від річних бюджетних призначень з урахуванням змін та спеціальному фонду – 431,4 тис.грн., або 86,3 відс.  </w:t>
      </w:r>
      <w:r w:rsidRPr="00C71590">
        <w:rPr>
          <w:lang w:eastAsia="x-none"/>
        </w:rPr>
        <w:t>В порівнянні з минулим роком видатки по «Молодіжних програмах» збільшились на 2317,9 тис.грн., або на 75,5 відс.</w:t>
      </w:r>
      <w:r w:rsidRPr="00C71590">
        <w:rPr>
          <w:b/>
          <w:bCs/>
          <w:i/>
          <w:iCs/>
          <w:lang w:eastAsia="x-none"/>
        </w:rPr>
        <w:t xml:space="preserve"> </w:t>
      </w:r>
    </w:p>
    <w:p w:rsidR="00C71590" w:rsidRPr="00C71590" w:rsidRDefault="00C71590" w:rsidP="00C71590">
      <w:pPr>
        <w:jc w:val="center"/>
        <w:rPr>
          <w:bCs/>
          <w:iCs/>
          <w:lang w:eastAsia="x-none"/>
        </w:rPr>
      </w:pPr>
      <w:r>
        <w:rPr>
          <w:noProof/>
          <w:lang w:val="ru-RU"/>
        </w:rPr>
        <w:drawing>
          <wp:anchor distT="54864" distB="205359" distL="217932" distR="691896" simplePos="0" relativeHeight="251659264" behindDoc="0" locked="0" layoutInCell="1" allowOverlap="1">
            <wp:simplePos x="0" y="0"/>
            <wp:positionH relativeFrom="column">
              <wp:posOffset>50800</wp:posOffset>
            </wp:positionH>
            <wp:positionV relativeFrom="paragraph">
              <wp:posOffset>93345</wp:posOffset>
            </wp:positionV>
            <wp:extent cx="3552190" cy="1687195"/>
            <wp:effectExtent l="0" t="2540" r="1905" b="0"/>
            <wp:wrapNone/>
            <wp:docPr id="41" name="Диаграм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C71590" w:rsidRPr="00C71590" w:rsidRDefault="00C71590" w:rsidP="00C71590">
      <w:pPr>
        <w:autoSpaceDE w:val="0"/>
        <w:autoSpaceDN w:val="0"/>
        <w:adjustRightInd w:val="0"/>
        <w:jc w:val="both"/>
        <w:rPr>
          <w:b/>
          <w:bCs/>
          <w:i/>
          <w:iCs/>
        </w:rPr>
      </w:pPr>
    </w:p>
    <w:p w:rsidR="00C71590" w:rsidRPr="00C71590" w:rsidRDefault="00C71590" w:rsidP="00C71590">
      <w:pPr>
        <w:autoSpaceDE w:val="0"/>
        <w:autoSpaceDN w:val="0"/>
        <w:adjustRightInd w:val="0"/>
        <w:ind w:firstLine="540"/>
        <w:jc w:val="both"/>
        <w:rPr>
          <w:bCs/>
          <w:iCs/>
        </w:rPr>
      </w:pPr>
      <w:r>
        <w:rPr>
          <w:bCs/>
          <w:iCs/>
          <w:noProof/>
          <w:lang w:val="ru-RU"/>
        </w:rPr>
        <mc:AlternateContent>
          <mc:Choice Requires="wps">
            <w:drawing>
              <wp:anchor distT="0" distB="0" distL="114300" distR="114300" simplePos="0" relativeHeight="251660288" behindDoc="0" locked="0" layoutInCell="1" allowOverlap="1">
                <wp:simplePos x="0" y="0"/>
                <wp:positionH relativeFrom="column">
                  <wp:posOffset>4081145</wp:posOffset>
                </wp:positionH>
                <wp:positionV relativeFrom="paragraph">
                  <wp:posOffset>-8255</wp:posOffset>
                </wp:positionV>
                <wp:extent cx="1647825" cy="800100"/>
                <wp:effectExtent l="9525" t="13335" r="9525" b="158115"/>
                <wp:wrapNone/>
                <wp:docPr id="40" name="Выноска-облако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00100"/>
                        </a:xfrm>
                        <a:prstGeom prst="cloudCallout">
                          <a:avLst>
                            <a:gd name="adj1" fmla="val -7806"/>
                            <a:gd name="adj2" fmla="val 65236"/>
                          </a:avLst>
                        </a:prstGeom>
                        <a:solidFill>
                          <a:srgbClr val="DBE5F1"/>
                        </a:solidFill>
                        <a:ln w="9525">
                          <a:solidFill>
                            <a:srgbClr val="548DD4"/>
                          </a:solidFill>
                          <a:round/>
                          <a:headEnd/>
                          <a:tailEnd/>
                        </a:ln>
                      </wps:spPr>
                      <wps:txbx>
                        <w:txbxContent>
                          <w:p w:rsidR="00C71590" w:rsidRDefault="00C71590" w:rsidP="00C71590">
                            <w:pPr>
                              <w:rPr>
                                <w:b/>
                                <w:sz w:val="20"/>
                              </w:rPr>
                            </w:pPr>
                            <w:r w:rsidRPr="00025348">
                              <w:rPr>
                                <w:b/>
                                <w:sz w:val="20"/>
                              </w:rPr>
                              <w:t>В</w:t>
                            </w:r>
                            <w:r>
                              <w:rPr>
                                <w:b/>
                                <w:sz w:val="20"/>
                              </w:rPr>
                              <w:t xml:space="preserve">сього видатки  </w:t>
                            </w:r>
                          </w:p>
                          <w:p w:rsidR="00C71590" w:rsidRPr="00C71590" w:rsidRDefault="00C71590" w:rsidP="00C71590">
                            <w:pPr>
                              <w:rPr>
                                <w:b/>
                                <w:sz w:val="20"/>
                                <w:lang w:val="ru-RU"/>
                              </w:rPr>
                            </w:pPr>
                            <w:r>
                              <w:rPr>
                                <w:b/>
                                <w:sz w:val="20"/>
                              </w:rPr>
                              <w:t xml:space="preserve">         201</w:t>
                            </w:r>
                            <w:r w:rsidRPr="00207597">
                              <w:rPr>
                                <w:b/>
                                <w:sz w:val="20"/>
                                <w:lang w:val="ru-RU"/>
                              </w:rPr>
                              <w:t>5</w:t>
                            </w:r>
                            <w:r>
                              <w:rPr>
                                <w:b/>
                                <w:sz w:val="20"/>
                              </w:rPr>
                              <w:t xml:space="preserve"> рік</w:t>
                            </w:r>
                            <w:r w:rsidRPr="00C71590">
                              <w:rPr>
                                <w:b/>
                                <w:sz w:val="20"/>
                                <w:lang w:val="ru-RU"/>
                              </w:rPr>
                              <w:t xml:space="preserve"> -</w:t>
                            </w:r>
                          </w:p>
                          <w:p w:rsidR="00C71590" w:rsidRPr="00025348" w:rsidRDefault="00C71590" w:rsidP="00C71590">
                            <w:pPr>
                              <w:rPr>
                                <w:b/>
                                <w:sz w:val="20"/>
                              </w:rPr>
                            </w:pPr>
                            <w:r>
                              <w:rPr>
                                <w:b/>
                                <w:sz w:val="20"/>
                              </w:rPr>
                              <w:t xml:space="preserve">   5389,3 тис.грн.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40" o:spid="_x0000_s1026" type="#_x0000_t106" style="position:absolute;left:0;text-align:left;margin-left:321.35pt;margin-top:-.65pt;width:129.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" adj="9114,24891" fillcolor="#dbe5f1" strokecolor="#548dd4">
                <v:textbox>
                  <w:txbxContent>
                    <w:p w:rsidR="00C71590" w:rsidRDefault="00C71590" w:rsidP="00C71590">
                      <w:pPr>
                        <w:rPr>
                          <w:b/>
                          <w:sz w:val="20"/>
                        </w:rPr>
                      </w:pPr>
                      <w:r w:rsidRPr="00025348">
                        <w:rPr>
                          <w:b/>
                          <w:sz w:val="20"/>
                        </w:rPr>
                        <w:t>В</w:t>
                      </w:r>
                      <w:r>
                        <w:rPr>
                          <w:b/>
                          <w:sz w:val="20"/>
                        </w:rPr>
                        <w:t xml:space="preserve">сього видатки  </w:t>
                      </w:r>
                    </w:p>
                    <w:p w:rsidR="00C71590" w:rsidRPr="00C71590" w:rsidRDefault="00C71590" w:rsidP="00C71590">
                      <w:pPr>
                        <w:rPr>
                          <w:b/>
                          <w:sz w:val="20"/>
                          <w:lang w:val="ru-RU"/>
                        </w:rPr>
                      </w:pPr>
                      <w:r>
                        <w:rPr>
                          <w:b/>
                          <w:sz w:val="20"/>
                        </w:rPr>
                        <w:t xml:space="preserve">         201</w:t>
                      </w:r>
                      <w:r w:rsidRPr="00207597">
                        <w:rPr>
                          <w:b/>
                          <w:sz w:val="20"/>
                          <w:lang w:val="ru-RU"/>
                        </w:rPr>
                        <w:t>5</w:t>
                      </w:r>
                      <w:r>
                        <w:rPr>
                          <w:b/>
                          <w:sz w:val="20"/>
                        </w:rPr>
                        <w:t xml:space="preserve"> рік</w:t>
                      </w:r>
                      <w:r w:rsidRPr="00C71590">
                        <w:rPr>
                          <w:b/>
                          <w:sz w:val="20"/>
                          <w:lang w:val="ru-RU"/>
                        </w:rPr>
                        <w:t xml:space="preserve"> -</w:t>
                      </w:r>
                    </w:p>
                    <w:p w:rsidR="00C71590" w:rsidRPr="00025348" w:rsidRDefault="00C71590" w:rsidP="00C71590">
                      <w:pPr>
                        <w:rPr>
                          <w:b/>
                          <w:sz w:val="20"/>
                        </w:rPr>
                      </w:pPr>
                      <w:r>
                        <w:rPr>
                          <w:b/>
                          <w:sz w:val="20"/>
                        </w:rPr>
                        <w:t xml:space="preserve">   5389,3 тис.грн.</w:t>
                      </w:r>
                    </w:p>
                  </w:txbxContent>
                </v:textbox>
              </v:shape>
            </w:pict>
          </mc:Fallback>
        </mc:AlternateContent>
      </w:r>
    </w:p>
    <w:p w:rsidR="00C71590" w:rsidRPr="00C71590" w:rsidRDefault="00C71590" w:rsidP="00C71590">
      <w:pPr>
        <w:autoSpaceDE w:val="0"/>
        <w:autoSpaceDN w:val="0"/>
        <w:adjustRightInd w:val="0"/>
        <w:ind w:firstLine="540"/>
        <w:jc w:val="both"/>
        <w:rPr>
          <w:bCs/>
          <w:iCs/>
        </w:rPr>
      </w:pPr>
    </w:p>
    <w:p w:rsidR="00C71590" w:rsidRPr="00C71590" w:rsidRDefault="00C71590" w:rsidP="00C71590">
      <w:pPr>
        <w:autoSpaceDE w:val="0"/>
        <w:autoSpaceDN w:val="0"/>
        <w:adjustRightInd w:val="0"/>
        <w:ind w:firstLine="540"/>
        <w:jc w:val="both"/>
        <w:rPr>
          <w:bCs/>
          <w:iCs/>
        </w:rPr>
      </w:pPr>
    </w:p>
    <w:p w:rsidR="00C71590" w:rsidRPr="00C71590" w:rsidRDefault="00C71590" w:rsidP="00C71590">
      <w:pPr>
        <w:autoSpaceDE w:val="0"/>
        <w:autoSpaceDN w:val="0"/>
        <w:adjustRightInd w:val="0"/>
        <w:ind w:firstLine="540"/>
        <w:jc w:val="both"/>
        <w:rPr>
          <w:bCs/>
          <w:iCs/>
        </w:rPr>
      </w:pPr>
    </w:p>
    <w:p w:rsidR="00C71590" w:rsidRPr="00C71590" w:rsidRDefault="00C71590" w:rsidP="00C71590">
      <w:pPr>
        <w:autoSpaceDE w:val="0"/>
        <w:autoSpaceDN w:val="0"/>
        <w:adjustRightInd w:val="0"/>
        <w:ind w:firstLine="540"/>
        <w:jc w:val="both"/>
        <w:rPr>
          <w:bCs/>
          <w:iCs/>
        </w:rPr>
      </w:pPr>
    </w:p>
    <w:p w:rsidR="00C71590" w:rsidRPr="00C71590" w:rsidRDefault="00C71590" w:rsidP="00C71590">
      <w:pPr>
        <w:autoSpaceDE w:val="0"/>
        <w:autoSpaceDN w:val="0"/>
        <w:adjustRightInd w:val="0"/>
        <w:ind w:firstLine="540"/>
        <w:jc w:val="both"/>
        <w:rPr>
          <w:bCs/>
          <w:iCs/>
        </w:rPr>
      </w:pPr>
      <w:r>
        <w:rPr>
          <w:bCs/>
          <w:iCs/>
          <w:noProof/>
          <w:lang w:val="ru-RU"/>
        </w:rPr>
        <mc:AlternateContent>
          <mc:Choice Requires="wps">
            <w:drawing>
              <wp:anchor distT="0" distB="0" distL="114300" distR="114300" simplePos="0" relativeHeight="251663360" behindDoc="0" locked="0" layoutInCell="1" allowOverlap="1">
                <wp:simplePos x="0" y="0"/>
                <wp:positionH relativeFrom="column">
                  <wp:posOffset>1890395</wp:posOffset>
                </wp:positionH>
                <wp:positionV relativeFrom="paragraph">
                  <wp:posOffset>119380</wp:posOffset>
                </wp:positionV>
                <wp:extent cx="2353310" cy="255270"/>
                <wp:effectExtent l="0" t="464185" r="0" b="614045"/>
                <wp:wrapNone/>
                <wp:docPr id="39" name="Выгнутая вверх стрелк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8557">
                          <a:off x="0" y="0"/>
                          <a:ext cx="2353310" cy="255270"/>
                        </a:xfrm>
                        <a:prstGeom prst="curvedDownArrow">
                          <a:avLst>
                            <a:gd name="adj1" fmla="val 184378"/>
                            <a:gd name="adj2" fmla="val 368756"/>
                            <a:gd name="adj3" fmla="val 33333"/>
                          </a:avLst>
                        </a:prstGeom>
                        <a:gradFill rotWithShape="1">
                          <a:gsLst>
                            <a:gs pos="0">
                              <a:srgbClr val="DBE5F1"/>
                            </a:gs>
                            <a:gs pos="100000">
                              <a:srgbClr val="DBE5F1">
                                <a:gamma/>
                                <a:shade val="46275"/>
                                <a:invGamma/>
                              </a:srgbClr>
                            </a:gs>
                          </a:gsLst>
                          <a:lin ang="5400000" scaled="1"/>
                        </a:gradFill>
                        <a:ln w="9525">
                          <a:solidFill>
                            <a:srgbClr val="548DD4"/>
                          </a:solidFill>
                          <a:miter lim="800000"/>
                          <a:headEnd/>
                          <a:tailEnd/>
                        </a:ln>
                      </wps:spPr>
                      <wps:txbx>
                        <w:txbxContent>
                          <w:p w:rsidR="00C71590" w:rsidRPr="00066E4A" w:rsidRDefault="00C71590" w:rsidP="00C71590">
                            <w:pPr>
                              <w:rPr>
                                <w:b/>
                                <w:sz w:val="18"/>
                                <w:szCs w:val="18"/>
                              </w:rPr>
                            </w:pPr>
                            <w:r w:rsidRPr="00066E4A">
                              <w:rPr>
                                <w:b/>
                                <w:sz w:val="18"/>
                                <w:szCs w:val="18"/>
                              </w:rPr>
                              <w:t>+75</w:t>
                            </w:r>
                            <w:r>
                              <w:rPr>
                                <w:b/>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39" o:spid="_x0000_s1027" type="#_x0000_t105" style="position:absolute;left:0;text-align:left;margin-left:148.85pt;margin-top:9.4pt;width:185.3pt;height:20.1pt;rotation:-206280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" fillcolor="#dbe5f1" strokecolor="#548dd4">
                <v:fill color2="#656a70" rotate="t" focus="100%" type="gradient"/>
                <v:textbox>
                  <w:txbxContent>
                    <w:p w:rsidR="00C71590" w:rsidRPr="00066E4A" w:rsidRDefault="00C71590" w:rsidP="00C71590">
                      <w:pPr>
                        <w:rPr>
                          <w:b/>
                          <w:sz w:val="18"/>
                          <w:szCs w:val="18"/>
                        </w:rPr>
                      </w:pPr>
                      <w:r w:rsidRPr="00066E4A">
                        <w:rPr>
                          <w:b/>
                          <w:sz w:val="18"/>
                          <w:szCs w:val="18"/>
                        </w:rPr>
                        <w:t>+75</w:t>
                      </w:r>
                      <w:r>
                        <w:rPr>
                          <w:b/>
                          <w:sz w:val="18"/>
                          <w:szCs w:val="18"/>
                        </w:rPr>
                        <w:t>,5%</w:t>
                      </w:r>
                    </w:p>
                  </w:txbxContent>
                </v:textbox>
              </v:shape>
            </w:pict>
          </mc:Fallback>
        </mc:AlternateContent>
      </w:r>
    </w:p>
    <w:p w:rsidR="00C71590" w:rsidRPr="00C71590" w:rsidRDefault="00C71590" w:rsidP="00C71590">
      <w:pPr>
        <w:autoSpaceDE w:val="0"/>
        <w:autoSpaceDN w:val="0"/>
        <w:adjustRightInd w:val="0"/>
        <w:ind w:firstLine="540"/>
        <w:jc w:val="both"/>
        <w:rPr>
          <w:bCs/>
          <w:iCs/>
        </w:rPr>
      </w:pPr>
    </w:p>
    <w:p w:rsidR="00C71590" w:rsidRPr="00C71590" w:rsidRDefault="00C71590" w:rsidP="00C71590">
      <w:pPr>
        <w:autoSpaceDE w:val="0"/>
        <w:autoSpaceDN w:val="0"/>
        <w:adjustRightInd w:val="0"/>
        <w:ind w:firstLine="540"/>
        <w:jc w:val="both"/>
        <w:rPr>
          <w:bCs/>
          <w:iCs/>
        </w:rPr>
      </w:pPr>
    </w:p>
    <w:p w:rsidR="00C71590" w:rsidRPr="00C71590" w:rsidRDefault="00C71590" w:rsidP="00C71590">
      <w:pPr>
        <w:autoSpaceDE w:val="0"/>
        <w:autoSpaceDN w:val="0"/>
        <w:adjustRightInd w:val="0"/>
        <w:ind w:firstLine="540"/>
        <w:jc w:val="both"/>
        <w:rPr>
          <w:bCs/>
          <w:iCs/>
        </w:rPr>
      </w:pPr>
      <w:r>
        <w:rPr>
          <w:bCs/>
          <w:iCs/>
          <w:noProof/>
          <w:lang w:val="ru-RU"/>
        </w:rPr>
        <mc:AlternateContent>
          <mc:Choice Requires="wps">
            <w:drawing>
              <wp:anchor distT="0" distB="0" distL="114300" distR="114300" simplePos="0" relativeHeight="251662336" behindDoc="0" locked="0" layoutInCell="1" allowOverlap="1">
                <wp:simplePos x="0" y="0"/>
                <wp:positionH relativeFrom="column">
                  <wp:posOffset>328295</wp:posOffset>
                </wp:positionH>
                <wp:positionV relativeFrom="paragraph">
                  <wp:posOffset>97790</wp:posOffset>
                </wp:positionV>
                <wp:extent cx="1685925" cy="780415"/>
                <wp:effectExtent l="9525" t="6350" r="9525" b="222885"/>
                <wp:wrapNone/>
                <wp:docPr id="38" name="Выноска-облако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780415"/>
                        </a:xfrm>
                        <a:prstGeom prst="cloudCallout">
                          <a:avLst>
                            <a:gd name="adj1" fmla="val -18361"/>
                            <a:gd name="adj2" fmla="val 75060"/>
                          </a:avLst>
                        </a:prstGeom>
                        <a:solidFill>
                          <a:srgbClr val="DBE5F1"/>
                        </a:solidFill>
                        <a:ln w="9525">
                          <a:solidFill>
                            <a:srgbClr val="548DD4"/>
                          </a:solidFill>
                          <a:round/>
                          <a:headEnd/>
                          <a:tailEnd/>
                        </a:ln>
                      </wps:spPr>
                      <wps:txbx>
                        <w:txbxContent>
                          <w:p w:rsidR="00C71590" w:rsidRDefault="00C71590" w:rsidP="00C71590">
                            <w:pPr>
                              <w:rPr>
                                <w:b/>
                                <w:sz w:val="20"/>
                              </w:rPr>
                            </w:pPr>
                            <w:r>
                              <w:rPr>
                                <w:b/>
                                <w:sz w:val="20"/>
                              </w:rPr>
                              <w:t>Всього видатки</w:t>
                            </w:r>
                          </w:p>
                          <w:p w:rsidR="00C71590" w:rsidRPr="00C71590" w:rsidRDefault="00C71590" w:rsidP="00C71590">
                            <w:pPr>
                              <w:rPr>
                                <w:b/>
                                <w:sz w:val="20"/>
                                <w:lang w:val="ru-RU"/>
                              </w:rPr>
                            </w:pPr>
                            <w:r>
                              <w:rPr>
                                <w:b/>
                                <w:sz w:val="20"/>
                              </w:rPr>
                              <w:t xml:space="preserve">         201</w:t>
                            </w:r>
                            <w:r w:rsidRPr="00C71590">
                              <w:rPr>
                                <w:b/>
                                <w:sz w:val="20"/>
                                <w:lang w:val="ru-RU"/>
                              </w:rPr>
                              <w:t>4</w:t>
                            </w:r>
                            <w:r>
                              <w:rPr>
                                <w:b/>
                                <w:sz w:val="20"/>
                              </w:rPr>
                              <w:t xml:space="preserve"> рік</w:t>
                            </w:r>
                            <w:r w:rsidRPr="00C71590">
                              <w:rPr>
                                <w:b/>
                                <w:sz w:val="20"/>
                                <w:lang w:val="ru-RU"/>
                              </w:rPr>
                              <w:t xml:space="preserve"> -</w:t>
                            </w:r>
                          </w:p>
                          <w:p w:rsidR="00C71590" w:rsidRPr="00025348" w:rsidRDefault="00C71590" w:rsidP="00C71590">
                            <w:pPr>
                              <w:rPr>
                                <w:b/>
                                <w:sz w:val="20"/>
                              </w:rPr>
                            </w:pPr>
                            <w:r>
                              <w:rPr>
                                <w:b/>
                                <w:sz w:val="20"/>
                              </w:rPr>
                              <w:t xml:space="preserve">   </w:t>
                            </w:r>
                            <w:r w:rsidRPr="00C71590">
                              <w:rPr>
                                <w:b/>
                                <w:sz w:val="20"/>
                                <w:lang w:val="ru-RU"/>
                              </w:rPr>
                              <w:t>3071</w:t>
                            </w:r>
                            <w:r>
                              <w:rPr>
                                <w:b/>
                                <w:sz w:val="20"/>
                              </w:rPr>
                              <w:t>,4 тис.грн.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38" o:spid="_x0000_s1028" type="#_x0000_t106" style="position:absolute;left:0;text-align:left;margin-left:25.85pt;margin-top:7.7pt;width:132.75pt;height:6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" adj="6834,27013" fillcolor="#dbe5f1" strokecolor="#548dd4">
                <v:textbox>
                  <w:txbxContent>
                    <w:p w:rsidR="00C71590" w:rsidRDefault="00C71590" w:rsidP="00C71590">
                      <w:pPr>
                        <w:rPr>
                          <w:b/>
                          <w:sz w:val="20"/>
                        </w:rPr>
                      </w:pPr>
                      <w:r>
                        <w:rPr>
                          <w:b/>
                          <w:sz w:val="20"/>
                        </w:rPr>
                        <w:t>Всього видатки</w:t>
                      </w:r>
                    </w:p>
                    <w:p w:rsidR="00C71590" w:rsidRPr="00C71590" w:rsidRDefault="00C71590" w:rsidP="00C71590">
                      <w:pPr>
                        <w:rPr>
                          <w:b/>
                          <w:sz w:val="20"/>
                          <w:lang w:val="ru-RU"/>
                        </w:rPr>
                      </w:pPr>
                      <w:r>
                        <w:rPr>
                          <w:b/>
                          <w:sz w:val="20"/>
                        </w:rPr>
                        <w:t xml:space="preserve">         201</w:t>
                      </w:r>
                      <w:r w:rsidRPr="00C71590">
                        <w:rPr>
                          <w:b/>
                          <w:sz w:val="20"/>
                          <w:lang w:val="ru-RU"/>
                        </w:rPr>
                        <w:t>4</w:t>
                      </w:r>
                      <w:r>
                        <w:rPr>
                          <w:b/>
                          <w:sz w:val="20"/>
                        </w:rPr>
                        <w:t xml:space="preserve"> рік</w:t>
                      </w:r>
                      <w:r w:rsidRPr="00C71590">
                        <w:rPr>
                          <w:b/>
                          <w:sz w:val="20"/>
                          <w:lang w:val="ru-RU"/>
                        </w:rPr>
                        <w:t xml:space="preserve"> -</w:t>
                      </w:r>
                    </w:p>
                    <w:p w:rsidR="00C71590" w:rsidRPr="00025348" w:rsidRDefault="00C71590" w:rsidP="00C71590">
                      <w:pPr>
                        <w:rPr>
                          <w:b/>
                          <w:sz w:val="20"/>
                        </w:rPr>
                      </w:pPr>
                      <w:r>
                        <w:rPr>
                          <w:b/>
                          <w:sz w:val="20"/>
                        </w:rPr>
                        <w:t xml:space="preserve">   </w:t>
                      </w:r>
                      <w:r w:rsidRPr="00C71590">
                        <w:rPr>
                          <w:b/>
                          <w:sz w:val="20"/>
                          <w:lang w:val="ru-RU"/>
                        </w:rPr>
                        <w:t>3071</w:t>
                      </w:r>
                      <w:r>
                        <w:rPr>
                          <w:b/>
                          <w:sz w:val="20"/>
                        </w:rPr>
                        <w:t>,4 тис.грн.</w:t>
                      </w:r>
                    </w:p>
                  </w:txbxContent>
                </v:textbox>
              </v:shape>
            </w:pict>
          </mc:Fallback>
        </mc:AlternateContent>
      </w:r>
      <w:r>
        <w:rPr>
          <w:noProof/>
          <w:lang w:val="ru-RU"/>
        </w:rPr>
        <w:drawing>
          <wp:anchor distT="54864" distB="169926" distL="254508" distR="635508" simplePos="0" relativeHeight="251661312" behindDoc="0" locked="0" layoutInCell="1" allowOverlap="1">
            <wp:simplePos x="0" y="0"/>
            <wp:positionH relativeFrom="column">
              <wp:posOffset>2249805</wp:posOffset>
            </wp:positionH>
            <wp:positionV relativeFrom="paragraph">
              <wp:posOffset>97790</wp:posOffset>
            </wp:positionV>
            <wp:extent cx="2818765" cy="1511300"/>
            <wp:effectExtent l="0" t="0" r="3175" b="6350"/>
            <wp:wrapNone/>
            <wp:docPr id="37" name="Диаграмма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C71590" w:rsidRPr="00C71590" w:rsidRDefault="00C71590" w:rsidP="00C71590">
      <w:pPr>
        <w:autoSpaceDE w:val="0"/>
        <w:autoSpaceDN w:val="0"/>
        <w:adjustRightInd w:val="0"/>
        <w:ind w:firstLine="540"/>
        <w:jc w:val="both"/>
        <w:rPr>
          <w:bCs/>
          <w:iCs/>
        </w:rPr>
      </w:pPr>
    </w:p>
    <w:p w:rsidR="00C71590" w:rsidRPr="00C71590" w:rsidRDefault="00C71590" w:rsidP="00C71590">
      <w:pPr>
        <w:autoSpaceDE w:val="0"/>
        <w:autoSpaceDN w:val="0"/>
        <w:adjustRightInd w:val="0"/>
        <w:ind w:firstLine="540"/>
        <w:jc w:val="both"/>
        <w:rPr>
          <w:b/>
          <w:bCs/>
          <w:iCs/>
          <w:sz w:val="20"/>
          <w:szCs w:val="20"/>
        </w:rPr>
      </w:pPr>
      <w:r w:rsidRPr="00C71590">
        <w:rPr>
          <w:bCs/>
          <w:iCs/>
        </w:rPr>
        <w:t xml:space="preserve">                                </w:t>
      </w:r>
    </w:p>
    <w:p w:rsidR="00C71590" w:rsidRPr="00C71590" w:rsidRDefault="00C71590" w:rsidP="00C71590">
      <w:pPr>
        <w:autoSpaceDE w:val="0"/>
        <w:autoSpaceDN w:val="0"/>
        <w:adjustRightInd w:val="0"/>
        <w:jc w:val="both"/>
        <w:rPr>
          <w:bCs/>
          <w:iCs/>
        </w:rPr>
      </w:pPr>
      <w:r w:rsidRPr="00C71590">
        <w:rPr>
          <w:bCs/>
          <w:iCs/>
        </w:rPr>
        <w:t xml:space="preserve">                                            </w:t>
      </w:r>
    </w:p>
    <w:p w:rsidR="00C71590" w:rsidRPr="00C71590" w:rsidRDefault="00C71590" w:rsidP="00C71590">
      <w:pPr>
        <w:autoSpaceDE w:val="0"/>
        <w:autoSpaceDN w:val="0"/>
        <w:adjustRightInd w:val="0"/>
        <w:ind w:firstLine="540"/>
        <w:jc w:val="both"/>
        <w:rPr>
          <w:bCs/>
          <w:iCs/>
        </w:rPr>
      </w:pPr>
    </w:p>
    <w:p w:rsidR="00C71590" w:rsidRPr="00C71590" w:rsidRDefault="00C71590" w:rsidP="00C71590">
      <w:pPr>
        <w:autoSpaceDE w:val="0"/>
        <w:autoSpaceDN w:val="0"/>
        <w:adjustRightInd w:val="0"/>
        <w:ind w:firstLine="540"/>
        <w:jc w:val="both"/>
        <w:rPr>
          <w:bCs/>
          <w:iCs/>
        </w:rPr>
      </w:pPr>
    </w:p>
    <w:p w:rsidR="00C71590" w:rsidRPr="00C71590" w:rsidRDefault="00C71590" w:rsidP="00C71590">
      <w:pPr>
        <w:autoSpaceDE w:val="0"/>
        <w:autoSpaceDN w:val="0"/>
        <w:adjustRightInd w:val="0"/>
        <w:ind w:firstLine="540"/>
        <w:jc w:val="both"/>
        <w:rPr>
          <w:bCs/>
          <w:iCs/>
        </w:rPr>
      </w:pPr>
    </w:p>
    <w:p w:rsidR="00C71590" w:rsidRPr="00C71590" w:rsidRDefault="00C71590" w:rsidP="00C71590">
      <w:pPr>
        <w:autoSpaceDE w:val="0"/>
        <w:autoSpaceDN w:val="0"/>
        <w:adjustRightInd w:val="0"/>
        <w:ind w:firstLine="540"/>
        <w:jc w:val="both"/>
        <w:rPr>
          <w:b/>
          <w:bCs/>
          <w:i/>
          <w:iCs/>
        </w:rPr>
      </w:pPr>
    </w:p>
    <w:p w:rsidR="00C71590" w:rsidRPr="00C71590" w:rsidRDefault="00C71590" w:rsidP="00C71590">
      <w:pPr>
        <w:autoSpaceDE w:val="0"/>
        <w:autoSpaceDN w:val="0"/>
        <w:adjustRightInd w:val="0"/>
        <w:ind w:firstLine="540"/>
        <w:jc w:val="both"/>
        <w:rPr>
          <w:b/>
          <w:bCs/>
          <w:i/>
          <w:iCs/>
        </w:rPr>
      </w:pPr>
    </w:p>
    <w:p w:rsidR="00C71590" w:rsidRPr="00C71590" w:rsidRDefault="00C71590" w:rsidP="00C71590">
      <w:pPr>
        <w:autoSpaceDE w:val="0"/>
        <w:autoSpaceDN w:val="0"/>
        <w:adjustRightInd w:val="0"/>
        <w:ind w:firstLine="540"/>
        <w:jc w:val="both"/>
        <w:rPr>
          <w:b/>
          <w:bCs/>
          <w:i/>
          <w:iCs/>
        </w:rPr>
      </w:pPr>
    </w:p>
    <w:p w:rsidR="00C71590" w:rsidRPr="00C71590" w:rsidRDefault="00C71590" w:rsidP="00C71590">
      <w:pPr>
        <w:widowControl w:val="0"/>
        <w:ind w:firstLine="540"/>
        <w:jc w:val="both"/>
        <w:rPr>
          <w:rFonts w:eastAsia="MS Mincho"/>
        </w:rPr>
      </w:pPr>
      <w:r w:rsidRPr="00C71590">
        <w:rPr>
          <w:rFonts w:eastAsia="MS Mincho"/>
        </w:rPr>
        <w:t xml:space="preserve">Штатна чисельність працівників галузі станом на 01.01.2016 складає 47,5 одиниць, фактична чисельність становить 38,5 осіб, порівняно з аналогічним періодом минулого року  штатна чисельність збільшилась на 1 од. (становила 46,5 одиниць), а фактична – на 2 од. (36,5 од. відповідно). </w:t>
      </w:r>
    </w:p>
    <w:p w:rsidR="00C71590" w:rsidRPr="00C71590" w:rsidRDefault="00C71590" w:rsidP="00C71590">
      <w:pPr>
        <w:ind w:firstLine="540"/>
        <w:jc w:val="both"/>
        <w:rPr>
          <w:lang w:eastAsia="x-none"/>
        </w:rPr>
      </w:pPr>
      <w:r w:rsidRPr="00C71590">
        <w:rPr>
          <w:lang w:eastAsia="x-none"/>
        </w:rPr>
        <w:t xml:space="preserve">На оплату праці з нарахуваннями на заробітну плату спрямовано 1562,1 тис.грн., або 99,4 відс. до уточнених річних призначень. У порівнянні з 2014 роком видатки на заробітну плату зменшились на 244,7 тис.грн., або на 13,5 відс., що пов’язано із скороченням у червні 2014 року 28-ми фахівців із соціальної роботи Міського центру соціальних служб для сім’ї, дітей та молоді. Питома вага видатків  на оплату праці з нарахуваннями на заробітну плату в загальному обсязі видатків складає 29,0 відс. </w:t>
      </w:r>
    </w:p>
    <w:p w:rsidR="00C71590" w:rsidRPr="00C71590" w:rsidRDefault="00C71590" w:rsidP="00C71590">
      <w:pPr>
        <w:ind w:firstLine="540"/>
        <w:jc w:val="both"/>
        <w:rPr>
          <w:lang w:eastAsia="x-none"/>
        </w:rPr>
      </w:pPr>
      <w:r w:rsidRPr="00C71590">
        <w:rPr>
          <w:lang w:eastAsia="x-none"/>
        </w:rPr>
        <w:t>На оплату комунальних послуг та енергоносіїв спрямовано 434,8 тис.грн., або 94,5</w:t>
      </w:r>
      <w:r w:rsidRPr="00C71590">
        <w:rPr>
          <w:lang w:val="ru-RU" w:eastAsia="x-none"/>
        </w:rPr>
        <w:t xml:space="preserve"> </w:t>
      </w:r>
      <w:r w:rsidRPr="00C71590">
        <w:rPr>
          <w:lang w:eastAsia="x-none"/>
        </w:rPr>
        <w:t xml:space="preserve">відс. до уточненого річного плану. В порівнянні з 2014 роком видатки на оплату комунальних </w:t>
      </w:r>
      <w:r w:rsidRPr="00C71590">
        <w:rPr>
          <w:lang w:eastAsia="x-none"/>
        </w:rPr>
        <w:lastRenderedPageBreak/>
        <w:t>послуг та енергоносіїв збільшились на 171,6 тис.грн., або на 65,2 відс. у зв’язку зі збільшенням тарифів на теплопостачання майже у 2 рази та введення з вересня 2015 року оплати за гаряче водопостачання. Питома вага видатків на оплату комунальних послуг та енергоносіїв в загальному обсязі видатків складає 8,1 відс.</w:t>
      </w:r>
    </w:p>
    <w:p w:rsidR="00C71590" w:rsidRPr="00C71590" w:rsidRDefault="00C71590" w:rsidP="00C71590">
      <w:pPr>
        <w:tabs>
          <w:tab w:val="left" w:pos="5940"/>
          <w:tab w:val="left" w:pos="6120"/>
        </w:tabs>
        <w:ind w:firstLine="540"/>
        <w:jc w:val="both"/>
        <w:rPr>
          <w:lang w:eastAsia="x-none"/>
        </w:rPr>
      </w:pPr>
      <w:r w:rsidRPr="00C71590">
        <w:rPr>
          <w:lang w:eastAsia="x-none"/>
        </w:rPr>
        <w:t>На інші поточні видатки спрямовано 3392,4 тис.грн., або 97,3 відс. до уточненого річного плану. В порівнянні з 2014 роком видатки зросли на 2391,0 тис.грн., або майже в 3,4 рази.  Із загальної суми інших поточних видатків спрямовано:</w:t>
      </w:r>
    </w:p>
    <w:p w:rsidR="00C71590" w:rsidRPr="00C71590" w:rsidRDefault="00C71590" w:rsidP="00C71590">
      <w:pPr>
        <w:tabs>
          <w:tab w:val="left" w:pos="5940"/>
          <w:tab w:val="left" w:pos="6120"/>
        </w:tabs>
        <w:ind w:firstLine="540"/>
        <w:jc w:val="both"/>
        <w:rPr>
          <w:lang w:eastAsia="x-none"/>
        </w:rPr>
      </w:pPr>
      <w:r w:rsidRPr="00C71590">
        <w:rPr>
          <w:lang w:eastAsia="x-none"/>
        </w:rPr>
        <w:t>-  на придбання предметів, матеріалів, оплату послуг – 222,6 тис.грн. В порівнянні з 2014 роком видатки зросли на 147,2 тис.грн., або майже в 3 рази;</w:t>
      </w:r>
    </w:p>
    <w:p w:rsidR="00C71590" w:rsidRPr="00C71590" w:rsidRDefault="00C71590" w:rsidP="00C71590">
      <w:pPr>
        <w:ind w:firstLine="540"/>
        <w:jc w:val="both"/>
        <w:rPr>
          <w:lang w:eastAsia="x-none"/>
        </w:rPr>
      </w:pPr>
      <w:r w:rsidRPr="00C71590">
        <w:rPr>
          <w:lang w:eastAsia="x-none"/>
        </w:rPr>
        <w:t xml:space="preserve">- на Програму </w:t>
      </w:r>
      <w:r w:rsidRPr="00C71590">
        <w:rPr>
          <w:rFonts w:eastAsia="MS Mincho"/>
          <w:lang w:eastAsia="x-none"/>
        </w:rPr>
        <w:t xml:space="preserve">забезпечення тимчасовим, соціальним та постійним житлом дітей-сиріт, дітей, позбавлених батьківського піклування, та осіб з їх числа, на 2014-2018 роки в               м. Черкаси </w:t>
      </w:r>
      <w:r w:rsidRPr="00C71590">
        <w:rPr>
          <w:lang w:eastAsia="x-none"/>
        </w:rPr>
        <w:t>– 2,0 тис.грн. В порівнянні з 2014 роком видатки зменшились на 14,3 тис.грн., або 87,7 відс.;</w:t>
      </w:r>
    </w:p>
    <w:p w:rsidR="00C71590" w:rsidRPr="00C71590" w:rsidRDefault="00C71590" w:rsidP="00C71590">
      <w:pPr>
        <w:ind w:firstLine="540"/>
        <w:jc w:val="both"/>
        <w:rPr>
          <w:lang w:eastAsia="x-none"/>
        </w:rPr>
      </w:pPr>
      <w:r w:rsidRPr="00C71590">
        <w:rPr>
          <w:lang w:eastAsia="x-none"/>
        </w:rPr>
        <w:t xml:space="preserve">- на Програму оздоровлення та відпочинку дітей та молоді м. Черкаси на 2009-2015 роки – 2870,4 тис.грн., або 99,3 відс. до уточненого річного плану. В порівнянні з 2014 роком видатки зросли на 1960,7 тис.грн., або 3,2 рази. Фактично 1107 дітей було забезпечено відпочинком: 630 путівок було придбано для оздоровлення і відпочинку дітей в стаціонарних закладах, та в закладах праці і відпочинку, наметових таборах і містечках оздоровились та відпочили 477 дитини, що на 477 осіб більше, або 75,0 відс., порівняно з минулим роком;   </w:t>
      </w:r>
    </w:p>
    <w:p w:rsidR="00C71590" w:rsidRPr="00C71590" w:rsidRDefault="00C71590" w:rsidP="00C71590">
      <w:pPr>
        <w:ind w:firstLine="540"/>
        <w:jc w:val="both"/>
        <w:rPr>
          <w:lang w:eastAsia="x-none"/>
        </w:rPr>
      </w:pPr>
      <w:r w:rsidRPr="00C71590">
        <w:rPr>
          <w:lang w:eastAsia="x-none"/>
        </w:rPr>
        <w:t xml:space="preserve"> - на Комплексну програму підтримки учасників антитерористичної операції та членів їх сімей – мешканців м. Черкаси на 2015 рік – 297,4 тис.грн., або 82,5 відс. до уточненого річного плану. Фактично було забезпечено оздоровленням 93 дитини, батьки яких є учасниками АТО. </w:t>
      </w:r>
    </w:p>
    <w:p w:rsidR="00C71590" w:rsidRPr="00C71590" w:rsidRDefault="00C71590" w:rsidP="00C71590">
      <w:pPr>
        <w:ind w:firstLine="540"/>
        <w:jc w:val="both"/>
        <w:rPr>
          <w:lang w:eastAsia="x-none"/>
        </w:rPr>
      </w:pPr>
      <w:r w:rsidRPr="00C71590">
        <w:rPr>
          <w:lang w:eastAsia="x-none"/>
        </w:rPr>
        <w:t>Питома вага видатків на інші поточні видатки в загальному обсязі видатків складає 62,9 відс.</w:t>
      </w:r>
    </w:p>
    <w:p w:rsidR="00C71590" w:rsidRPr="00C71590" w:rsidRDefault="00C71590" w:rsidP="00C71590">
      <w:pPr>
        <w:tabs>
          <w:tab w:val="left" w:pos="1866"/>
        </w:tabs>
        <w:ind w:firstLine="540"/>
        <w:jc w:val="both"/>
      </w:pPr>
      <w:r w:rsidRPr="00C71590">
        <w:t xml:space="preserve">Видатки спеціального фонду за 2015 рік склали 431,4 тис.грн., або 86,3 відс. до уточненого річного плану, з них: </w:t>
      </w:r>
    </w:p>
    <w:p w:rsidR="00C71590" w:rsidRPr="00C71590" w:rsidRDefault="00C71590" w:rsidP="00C71590">
      <w:pPr>
        <w:tabs>
          <w:tab w:val="left" w:pos="1866"/>
        </w:tabs>
        <w:ind w:firstLine="540"/>
        <w:jc w:val="both"/>
      </w:pPr>
      <w:r w:rsidRPr="00C71590">
        <w:t xml:space="preserve">1) за рахунок власних надходжень касові видатки склали 51,5 тис.грн., що складає 60,9 відс. до уточнених річних призначень, в тому числі: на оплату комунальних послуг і енергоносіїв – 15,3 тис.грн., або 39,3 відс. до уточненого плану на рік;  на інші поточні видатки – 36,2 тис.грн., або 77,7 відс. до уточненого плану на рік; </w:t>
      </w:r>
    </w:p>
    <w:p w:rsidR="00C71590" w:rsidRPr="00C71590" w:rsidRDefault="00C71590" w:rsidP="00C71590">
      <w:pPr>
        <w:tabs>
          <w:tab w:val="left" w:pos="1866"/>
        </w:tabs>
        <w:ind w:firstLine="540"/>
        <w:jc w:val="both"/>
      </w:pPr>
      <w:r w:rsidRPr="00C71590">
        <w:t xml:space="preserve">2) за рахунок бюджету розвитку  касові видатки склали 379,9 тис.грн., що складає 91,4 відс. від уточнених річних призначень (видатки спрямовані на капітальний ремонт центрального входу, заміну вікон та придбання музичної апаратури для Черкаського міського Палацу молоді). </w:t>
      </w:r>
    </w:p>
    <w:p w:rsidR="00C71590" w:rsidRPr="00C71590" w:rsidRDefault="00C71590" w:rsidP="00C71590">
      <w:pPr>
        <w:ind w:firstLine="540"/>
        <w:jc w:val="both"/>
        <w:rPr>
          <w:bCs/>
          <w:iCs/>
          <w:lang w:eastAsia="x-none"/>
        </w:rPr>
      </w:pPr>
      <w:r w:rsidRPr="00C71590">
        <w:rPr>
          <w:bCs/>
          <w:iCs/>
          <w:lang w:eastAsia="x-none"/>
        </w:rPr>
        <w:t>Станом на 01.01.2016 року по загальному та спеціальному фондах кредиторська та дебіторська заборгованості відсутні.</w:t>
      </w:r>
    </w:p>
    <w:p w:rsidR="00C04443" w:rsidRPr="00C04443" w:rsidRDefault="00C04443" w:rsidP="00C04443">
      <w:pPr>
        <w:jc w:val="center"/>
        <w:rPr>
          <w:b/>
          <w:bCs/>
          <w:i/>
          <w:iCs/>
          <w:u w:val="single"/>
          <w:lang w:eastAsia="x-none"/>
        </w:rPr>
      </w:pPr>
      <w:r w:rsidRPr="00C04443">
        <w:rPr>
          <w:b/>
          <w:i/>
          <w:u w:val="single"/>
          <w:lang w:val="x-none" w:eastAsia="x-none"/>
        </w:rPr>
        <w:t xml:space="preserve">КТКВК </w:t>
      </w:r>
      <w:r w:rsidRPr="00C04443">
        <w:rPr>
          <w:b/>
          <w:bCs/>
          <w:i/>
          <w:iCs/>
          <w:u w:val="single"/>
          <w:lang w:eastAsia="x-none"/>
        </w:rPr>
        <w:t xml:space="preserve">100000 Житлово-комунальне господарство (без </w:t>
      </w:r>
      <w:r w:rsidRPr="00C04443">
        <w:rPr>
          <w:b/>
          <w:i/>
          <w:u w:val="single"/>
          <w:lang w:val="x-none" w:eastAsia="x-none"/>
        </w:rPr>
        <w:t xml:space="preserve">КТКВК </w:t>
      </w:r>
      <w:r w:rsidRPr="00C04443">
        <w:rPr>
          <w:b/>
          <w:bCs/>
          <w:i/>
          <w:iCs/>
          <w:u w:val="single"/>
          <w:lang w:eastAsia="x-none"/>
        </w:rPr>
        <w:t>100602)</w:t>
      </w:r>
    </w:p>
    <w:p w:rsidR="00C04443" w:rsidRPr="00C04443" w:rsidRDefault="00C04443" w:rsidP="00C04443">
      <w:pPr>
        <w:ind w:firstLine="567"/>
        <w:jc w:val="both"/>
      </w:pPr>
      <w:r w:rsidRPr="00C04443">
        <w:t xml:space="preserve">У міському бюджеті на 2015 рік уточнений план по видатках </w:t>
      </w:r>
      <w:r w:rsidRPr="00C04443">
        <w:rPr>
          <w:b/>
        </w:rPr>
        <w:t>загального фонду</w:t>
      </w:r>
      <w:r w:rsidRPr="00C04443">
        <w:t xml:space="preserve"> на житлово-комунальне господарство складає 62771,9 тис.грн., що більше на 20079,5 тис.грн. проти уточненого плану попереднього року (головний розпорядник коштів – департамент житлово-комунального комплексу Черкаської міської ради).</w:t>
      </w:r>
    </w:p>
    <w:p w:rsidR="00C04443" w:rsidRPr="00C04443" w:rsidRDefault="00C04443" w:rsidP="00C04443">
      <w:pPr>
        <w:ind w:firstLine="567"/>
        <w:jc w:val="both"/>
      </w:pPr>
      <w:r w:rsidRPr="00C04443">
        <w:t>Касові видатки за 2015 рік склали 61559,9 тис.грн., що більше на 25556,4 тис.грн. проти попереднього року та складає 98,1 відс. до уточненого річного плану.</w:t>
      </w:r>
    </w:p>
    <w:p w:rsidR="00C04443" w:rsidRPr="00C04443" w:rsidRDefault="00C04443" w:rsidP="00C04443">
      <w:pPr>
        <w:ind w:firstLine="567"/>
        <w:jc w:val="both"/>
      </w:pPr>
      <w:r w:rsidRPr="00C04443">
        <w:t>На проведення робіт з обстеження якості питної води з нецентралізованих джерел водопостачання (КТКВК 100202) передбачено 32,9 тис.грн., касові видатки склали 25,4 тис.грн., або 77,2 відс. до уточненого річного плану.</w:t>
      </w:r>
    </w:p>
    <w:p w:rsidR="00C04443" w:rsidRPr="00C04443" w:rsidRDefault="00C04443" w:rsidP="00C04443">
      <w:pPr>
        <w:ind w:firstLine="567"/>
        <w:jc w:val="both"/>
      </w:pPr>
      <w:r w:rsidRPr="00C04443">
        <w:t xml:space="preserve">На роботи з благоустрою міста (КТКВК 100203) передбачені видатки у сумі 62739,0 тис.грн., касові видатки склали 61534,5 тис.грн., або 98,1 відс. до уточненого річного плану. </w:t>
      </w:r>
    </w:p>
    <w:p w:rsidR="00C04443" w:rsidRPr="00C04443" w:rsidRDefault="00C04443" w:rsidP="00C04443">
      <w:pPr>
        <w:ind w:firstLine="567"/>
        <w:jc w:val="both"/>
      </w:pPr>
      <w:r w:rsidRPr="00C04443">
        <w:t xml:space="preserve">По загальному фонду по видатках на житлово-комунальне господарство (КТКВК 100000) дебіторська та кредиторська заборгованості станом на 01.01.2016 року  відсутні. </w:t>
      </w:r>
    </w:p>
    <w:p w:rsidR="00C04443" w:rsidRPr="00C04443" w:rsidRDefault="00C04443" w:rsidP="00C04443">
      <w:pPr>
        <w:ind w:firstLine="567"/>
        <w:jc w:val="both"/>
      </w:pPr>
      <w:r w:rsidRPr="00C04443">
        <w:t xml:space="preserve">За рахунок коштів </w:t>
      </w:r>
      <w:r w:rsidRPr="00C04443">
        <w:rPr>
          <w:b/>
        </w:rPr>
        <w:t>спеціального фонду</w:t>
      </w:r>
      <w:r w:rsidRPr="00C04443">
        <w:t xml:space="preserve"> (бюджету розвитку) на 2015 рік передбачені видатки на житлово-комунальне господарство у сумі </w:t>
      </w:r>
      <w:r w:rsidRPr="00C04443">
        <w:rPr>
          <w:lang w:val="ru-RU"/>
        </w:rPr>
        <w:t xml:space="preserve">15446,1 </w:t>
      </w:r>
      <w:r w:rsidRPr="00C04443">
        <w:t>тис.грн., касові видатки склали 14411,2  тис.грн., або 93,3 відс. до уточненого річного плану.</w:t>
      </w:r>
    </w:p>
    <w:p w:rsidR="00C04443" w:rsidRPr="00C04443" w:rsidRDefault="00C04443" w:rsidP="00C04443">
      <w:pPr>
        <w:ind w:firstLine="567"/>
        <w:jc w:val="both"/>
      </w:pPr>
      <w:r w:rsidRPr="00C04443">
        <w:lastRenderedPageBreak/>
        <w:t>На капітальний ремонт житлового фонду (КТКВК 100102) передбачено 11214,7 тис.грн., касові видатки склали 10295,7 тис.грн., або 91,8 відс. до уточненого річного плану. Кошти використані на капітальний ремонт ліфтів, систем гарячого водопостачання та погашення кредиторської заборгованості за 2014 рік. Головний розпорядник коштів – департамент житлово-комунального комплексу Черкаської міської ради.</w:t>
      </w:r>
    </w:p>
    <w:p w:rsidR="00C04443" w:rsidRPr="00C04443" w:rsidRDefault="00C04443" w:rsidP="00C04443">
      <w:pPr>
        <w:ind w:firstLine="567"/>
        <w:jc w:val="both"/>
      </w:pPr>
      <w:r w:rsidRPr="00C04443">
        <w:t xml:space="preserve">На капітальний ремонт житлового фонду об’єднань співвласників багатоквартирних будинків (КТКВК 100106) передбачено 4214,5 тис.грн.( в т.ч. по головному розпоряднику коштів департаменту житлово-комунального комплексу Черкаської міської ради – 4114,5 тис.грн. та департаменту архітектури, містобудування та інспектування Черкаської міської ради – 100,0 тис.грн.), касові видатки склали 4099,8 тис.грн. (по департаменту житлово-комунального комплексу Черкаської міської ради), або 97,3 відс. до уточненого річного плану. </w:t>
      </w:r>
    </w:p>
    <w:p w:rsidR="00C04443" w:rsidRPr="00C04443" w:rsidRDefault="00C04443" w:rsidP="00C04443">
      <w:pPr>
        <w:ind w:firstLine="567"/>
        <w:jc w:val="both"/>
      </w:pPr>
      <w:r w:rsidRPr="00C04443">
        <w:t>На капітальні роботи з благоустрою міста (КТКВК 100203) передбачено 16,9 тис. грн. (по головному розпоряднику коштів департаменту архітектури, містобудування та інспектування Черкаської міської ради), касові видатки склали 15,7 тис.грн., або 93,0 відс. до уточненого річного плану.</w:t>
      </w:r>
    </w:p>
    <w:p w:rsidR="00C04443" w:rsidRPr="00C04443" w:rsidRDefault="00C04443" w:rsidP="00C04443">
      <w:pPr>
        <w:ind w:firstLine="567"/>
        <w:jc w:val="both"/>
      </w:pPr>
      <w:r w:rsidRPr="00C04443">
        <w:t>Станом на 01.01.2016 року  по спеціальному фонду бюджету розвитку (КТКВК 100102) рахується дебіторська заборгованість у сумі 95,8 тис.грн. (в т.ч. прострочена -65,5 тис.грн.), як невідпрацьовані аванси на капітальний ремонт житлового фонду міської комунальної власності:  на капітальний ремонт гуртожитку  по вул. Смілянська, 90/1 – 30,3 тис.грн. та на капітальний ремонт ліфтів - 65,5 тис.грн. (департаментом житлово-комунального комплексу подано документи щодо примусового стягнення коштів з боржника через Державну виконавчу службу. У зв’язку з недостатністю коштів та майна,  загальна сума боргу ДП «Електромонтаж-424» не може бути покрита).</w:t>
      </w:r>
    </w:p>
    <w:p w:rsidR="00C04443" w:rsidRPr="00C04443" w:rsidRDefault="00C04443" w:rsidP="00C04443">
      <w:pPr>
        <w:ind w:firstLine="567"/>
        <w:jc w:val="both"/>
        <w:rPr>
          <w:lang w:val="ru-RU"/>
        </w:rPr>
      </w:pPr>
      <w:r w:rsidRPr="00C04443">
        <w:t xml:space="preserve"> Кредиторська заборгованість станом на 01.01.2016 року відсутня.</w:t>
      </w:r>
    </w:p>
    <w:p w:rsidR="00C04443" w:rsidRPr="00C04443" w:rsidRDefault="00C04443" w:rsidP="00C04443">
      <w:pPr>
        <w:jc w:val="center"/>
        <w:rPr>
          <w:b/>
          <w:i/>
          <w:sz w:val="22"/>
          <w:szCs w:val="22"/>
          <w:u w:val="single"/>
        </w:rPr>
      </w:pPr>
    </w:p>
    <w:p w:rsidR="00C04443" w:rsidRPr="00C04443" w:rsidRDefault="00C04443" w:rsidP="00C04443">
      <w:pPr>
        <w:jc w:val="center"/>
        <w:rPr>
          <w:b/>
          <w:i/>
          <w:sz w:val="22"/>
          <w:szCs w:val="22"/>
          <w:u w:val="single"/>
          <w:lang w:val="ru-RU"/>
        </w:rPr>
      </w:pPr>
      <w:r w:rsidRPr="00C04443">
        <w:rPr>
          <w:b/>
          <w:i/>
          <w:sz w:val="22"/>
          <w:szCs w:val="22"/>
          <w:u w:val="single"/>
        </w:rPr>
        <w:t xml:space="preserve">Погашення заборгованості з різниці в тарифах на теплову енергію, послуги з </w:t>
      </w:r>
    </w:p>
    <w:p w:rsidR="00C04443" w:rsidRPr="00C04443" w:rsidRDefault="00C04443" w:rsidP="00C04443">
      <w:pPr>
        <w:jc w:val="center"/>
        <w:rPr>
          <w:b/>
          <w:i/>
          <w:sz w:val="22"/>
          <w:szCs w:val="22"/>
          <w:u w:val="single"/>
        </w:rPr>
      </w:pPr>
      <w:r w:rsidRPr="00C04443">
        <w:rPr>
          <w:b/>
          <w:i/>
          <w:sz w:val="22"/>
          <w:szCs w:val="22"/>
          <w:u w:val="single"/>
        </w:rPr>
        <w:t>централізованого водопостачання та водовідведення, що вироблялися, транспортувалися та постачалися населенню, яка виникла в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відповідними органами державної влади чи органами місцевого самоврядування» (КТКВК 100602)</w:t>
      </w:r>
    </w:p>
    <w:p w:rsidR="00C04443" w:rsidRPr="00C04443" w:rsidRDefault="00C04443" w:rsidP="00C04443">
      <w:pPr>
        <w:keepNext/>
        <w:ind w:firstLine="567"/>
        <w:jc w:val="both"/>
        <w:outlineLvl w:val="1"/>
        <w:rPr>
          <w:bCs/>
          <w:iCs/>
        </w:rPr>
      </w:pPr>
      <w:r w:rsidRPr="00C04443">
        <w:rPr>
          <w:bCs/>
          <w:iCs/>
        </w:rPr>
        <w:t>Відповідно до постанови Кабінету Міністрів України від 04.06.2015 № 375 «Питання погашення у 2015 році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в міському бюджеті на 2015 рік передбачені видатки в сумі 44952,6 тис.грн., касові видатки склали  21687,1 тис.грн. або 48,2 відс. до річного плану, в т.ч.:</w:t>
      </w:r>
    </w:p>
    <w:p w:rsidR="00C04443" w:rsidRPr="00C04443" w:rsidRDefault="00C04443" w:rsidP="00C04443">
      <w:pPr>
        <w:keepNext/>
        <w:ind w:firstLine="567"/>
        <w:jc w:val="both"/>
        <w:outlineLvl w:val="1"/>
        <w:rPr>
          <w:bCs/>
          <w:iCs/>
        </w:rPr>
      </w:pPr>
      <w:r w:rsidRPr="00C04443">
        <w:rPr>
          <w:bCs/>
          <w:iCs/>
        </w:rPr>
        <w:t>- по загальному фонду при планових прзначеннях субвенції з державного бюджету в сумі 43476,7 тис.грн., касові видатки склали 20211,2 тис.грн, або 46,5 відс. до річних призначень. Кошти перераховано: ПАТ «Черкаське хімволокно» - 8272,3 тис.грн., КП «Черкасиводоканал» - 7355,9 тис.грн. та КПТМ «Черкаситеплокомуненерго» - 4583,0 тис.грн.;</w:t>
      </w:r>
    </w:p>
    <w:p w:rsidR="00C04443" w:rsidRPr="00C04443" w:rsidRDefault="00C04443" w:rsidP="00C04443">
      <w:pPr>
        <w:keepNext/>
        <w:ind w:firstLine="567"/>
        <w:jc w:val="both"/>
        <w:outlineLvl w:val="1"/>
        <w:rPr>
          <w:b/>
          <w:bCs/>
          <w:i/>
          <w:iCs/>
          <w:sz w:val="28"/>
          <w:u w:val="single"/>
        </w:rPr>
      </w:pPr>
      <w:r w:rsidRPr="00C04443">
        <w:rPr>
          <w:bCs/>
          <w:iCs/>
        </w:rPr>
        <w:t xml:space="preserve"> - по спеціальному фонду міського бюджету передбачені видатки субвенції з державного бюджету у сумі 1475,9 тис.грн., касові видатки склали 100,0 відс. до річних призначень. Кошти перераховано КП «Черкасиводоканал».</w:t>
      </w:r>
    </w:p>
    <w:p w:rsidR="00C04443" w:rsidRPr="00C04443" w:rsidRDefault="00C04443" w:rsidP="00C04443">
      <w:pPr>
        <w:widowControl w:val="0"/>
        <w:spacing w:before="160"/>
        <w:jc w:val="center"/>
        <w:rPr>
          <w:b/>
          <w:bCs/>
          <w:i/>
          <w:iCs/>
          <w:u w:val="single"/>
        </w:rPr>
      </w:pPr>
      <w:r w:rsidRPr="00C04443">
        <w:rPr>
          <w:b/>
          <w:bCs/>
          <w:i/>
          <w:iCs/>
          <w:u w:val="single"/>
        </w:rPr>
        <w:t>Культура і мистецтво (КТКВК 110000)</w:t>
      </w:r>
    </w:p>
    <w:p w:rsidR="00C04443" w:rsidRPr="00C04443" w:rsidRDefault="00C04443" w:rsidP="00C04443">
      <w:pPr>
        <w:ind w:firstLine="540"/>
        <w:jc w:val="both"/>
        <w:rPr>
          <w:bCs/>
        </w:rPr>
      </w:pPr>
      <w:r w:rsidRPr="00C04443">
        <w:rPr>
          <w:bCs/>
        </w:rPr>
        <w:t>Головними розпорядниками коштів по видатках на культуру і мистецтво у 20</w:t>
      </w:r>
      <w:r w:rsidRPr="00C04443">
        <w:rPr>
          <w:bCs/>
          <w:lang w:val="ru-RU"/>
        </w:rPr>
        <w:t>15</w:t>
      </w:r>
      <w:r w:rsidRPr="00C04443">
        <w:rPr>
          <w:bCs/>
        </w:rPr>
        <w:t xml:space="preserve"> році визначено департамент освіти та гуманітарної політики Черкаського міської ради (якому підпорядковано 2</w:t>
      </w:r>
      <w:r w:rsidRPr="00C04443">
        <w:rPr>
          <w:bCs/>
          <w:lang w:val="ru-RU"/>
        </w:rPr>
        <w:t>5</w:t>
      </w:r>
      <w:r w:rsidRPr="00C04443">
        <w:rPr>
          <w:bCs/>
        </w:rPr>
        <w:t xml:space="preserve"> установ культури) та по Програмі організації та проведення святкових заходів, відзначення знаменних і пам`ятних дат у м. Черкаси </w:t>
      </w:r>
      <w:r w:rsidRPr="00C04443">
        <w:rPr>
          <w:bCs/>
          <w:lang w:val="ru-RU"/>
        </w:rPr>
        <w:t xml:space="preserve">- </w:t>
      </w:r>
      <w:r w:rsidRPr="00C04443">
        <w:rPr>
          <w:bCs/>
        </w:rPr>
        <w:t>департамент організаційного забезпечення Черкаської міської ради.</w:t>
      </w:r>
    </w:p>
    <w:p w:rsidR="00C04443" w:rsidRPr="00C04443" w:rsidRDefault="00C04443" w:rsidP="00C04443">
      <w:pPr>
        <w:ind w:firstLine="540"/>
        <w:jc w:val="both"/>
      </w:pPr>
      <w:r w:rsidRPr="00C04443">
        <w:rPr>
          <w:bCs/>
        </w:rPr>
        <w:t xml:space="preserve">Річні призначення з урахуванням змін на 2015 рік в загальній сумі по галузі становлять 51352,9 тис.грн., в тому числі: по загальному фонду - 45446,4 тис.грн., в т.ч. </w:t>
      </w:r>
      <w:r w:rsidRPr="00C04443">
        <w:t xml:space="preserve">по Програмі </w:t>
      </w:r>
      <w:r w:rsidRPr="00C04443">
        <w:lastRenderedPageBreak/>
        <w:t>організації та проведення святкових заходів, відзначення знаменних і пам`ятних дат у м. Черкаси – 824,5 тис.грн. та по спеціальному фонду – 5906,5 тис.грн.</w:t>
      </w:r>
    </w:p>
    <w:p w:rsidR="00C04443" w:rsidRPr="00C04443" w:rsidRDefault="00C04443" w:rsidP="00C04443">
      <w:pPr>
        <w:ind w:firstLine="540"/>
        <w:jc w:val="both"/>
        <w:rPr>
          <w:rFonts w:eastAsia="MS Mincho"/>
          <w:bCs/>
          <w:iCs/>
        </w:rPr>
      </w:pPr>
      <w:r w:rsidRPr="00C04443">
        <w:rPr>
          <w:bCs/>
          <w:iCs/>
        </w:rPr>
        <w:t>Касові видатки за 2015 рік по галузі «Культура і мистецтво» по загальному фонду склали 44990,2 тис.грн., або 99,0 відс. до річних призначень з урахуванням змін. У порівнянні із аналогічним періодом 2014 року касові видатки збільшилися на 8426,0 тис.грн., або на 23,0 відс.</w:t>
      </w:r>
      <w:r w:rsidRPr="00C04443">
        <w:rPr>
          <w:rFonts w:eastAsia="MS Mincho"/>
          <w:bCs/>
          <w:iCs/>
        </w:rPr>
        <w:t>).</w:t>
      </w:r>
    </w:p>
    <w:p w:rsidR="00C04443" w:rsidRPr="00C04443" w:rsidRDefault="00C04443" w:rsidP="00C04443">
      <w:pPr>
        <w:jc w:val="both"/>
      </w:pPr>
      <w:r>
        <w:rPr>
          <w:bCs/>
          <w:iCs/>
          <w:noProof/>
          <w:lang w:val="ru-RU"/>
        </w:rPr>
        <w:drawing>
          <wp:inline distT="0" distB="0" distL="0" distR="0">
            <wp:extent cx="6177280" cy="3370580"/>
            <wp:effectExtent l="0" t="0" r="13970" b="20320"/>
            <wp:docPr id="52" name="Диаграмма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04443" w:rsidRPr="00C04443" w:rsidRDefault="00C04443" w:rsidP="00C04443">
      <w:pPr>
        <w:ind w:firstLine="540"/>
        <w:jc w:val="both"/>
      </w:pPr>
      <w:r w:rsidRPr="00C04443">
        <w:t xml:space="preserve">     Видатки </w:t>
      </w:r>
      <w:r w:rsidRPr="00C04443">
        <w:rPr>
          <w:bCs/>
        </w:rPr>
        <w:t>на культуру і мистецтво</w:t>
      </w:r>
      <w:r w:rsidRPr="00C04443">
        <w:t xml:space="preserve"> по департаменту освіти та гуманітарної політики за 2015 рік склали 44183,1 тис.грн., в тому числі за рахунок субвенції з обласного бюджету на соціально-економічний розвиток регіонів (з урахуванням погашення кредиторської заборгованості) – на придбання музичної апаратури для Черкаської дитячої музичної школи № 2 (вокальне відділення, ансамбль "Квітограй") спрямовано  7,3 тис.грн., або 100,0 відс. до річних призначень з урахуванням змін.</w:t>
      </w:r>
    </w:p>
    <w:p w:rsidR="00C04443" w:rsidRPr="00C04443" w:rsidRDefault="00C04443" w:rsidP="00C04443">
      <w:pPr>
        <w:ind w:firstLine="900"/>
        <w:jc w:val="both"/>
      </w:pPr>
      <w:r w:rsidRPr="00C04443">
        <w:t>На утримання міської централізованої бібліотечної системи (14 бібліотечних філій) видатки за 2015 рік склали 6974,3 тис. грн., або 97,7 відс. до річних призначень з урахуванням змін, в т.ч. по загальному фонду – 6315,1 тис.грн., або 97,9 відс. до уточненого річного плану та по спеціальному фонду – 659,2 тис.грн., або 95,4 відс. до уточненого річного плану.</w:t>
      </w:r>
    </w:p>
    <w:p w:rsidR="00C04443" w:rsidRPr="00C04443" w:rsidRDefault="00C04443" w:rsidP="00C04443">
      <w:pPr>
        <w:ind w:firstLine="900"/>
        <w:jc w:val="both"/>
      </w:pPr>
      <w:r w:rsidRPr="00C04443">
        <w:t>На утримання міського будинку культури спрямовано 2428,2 тис.грн., або 88,4 відс. до уточненого річного плану, в т.ч. по загальному фонду – 2036,0 тис.грн., або 98,3 відс. до уточненого річного плану та по спеціальному фонду – 392,2 тис.грн., або 58,1 відс. до уточненого річного плану.</w:t>
      </w:r>
    </w:p>
    <w:p w:rsidR="00C04443" w:rsidRPr="00C04443" w:rsidRDefault="00C04443" w:rsidP="00C04443">
      <w:pPr>
        <w:ind w:firstLine="900"/>
        <w:jc w:val="both"/>
      </w:pPr>
      <w:r w:rsidRPr="00C04443">
        <w:t>На утримання шкіл естетичного виховання дітей спрямовано 30588,5 тис.грн., або 97,3 відс. до уточненого річного плану, в т.ч. по загальному фонду – 26646,3 тис.грн., або 99,1 відс. до уточненого річного плану та по спеціальному фонду – 3942,2 тис.грн., або 86,9 відс. до уточненого річного плану. Питома вага батьківської плати за навчання дітей в загальному обсязі видатків на отримання освіти в школах естетичного виховання складає 6,3 відс.</w:t>
      </w:r>
    </w:p>
    <w:p w:rsidR="00C04443" w:rsidRPr="00C04443" w:rsidRDefault="00C04443" w:rsidP="00C04443">
      <w:pPr>
        <w:ind w:firstLine="900"/>
        <w:jc w:val="both"/>
      </w:pPr>
      <w:r w:rsidRPr="00C04443">
        <w:t>На утримання сектору з обслуговування закладів культури спрямовано 215,3 тис.грн., або 91,9 відс. до уточненого річного плану, в т.ч. по загальному фонду – 210,3 тис.грн., або 91,7 відс. до уточненого річного плану та по спеціальному фонду – 5,0 тис.грн., або 100,0 відс. до уточненого річного плану.</w:t>
      </w:r>
    </w:p>
    <w:p w:rsidR="00C04443" w:rsidRPr="00C04443" w:rsidRDefault="00C04443" w:rsidP="00C04443">
      <w:pPr>
        <w:ind w:firstLine="900"/>
        <w:jc w:val="both"/>
      </w:pPr>
      <w:r w:rsidRPr="00C04443">
        <w:t>Штатна і фактична чисельність працівників бюджетних установ по галузі станом на 01.01.2016 року становить 748,07 од., в тому числі по загальному фонду – 707,19 од. та по спеціальному фонду – 40,88 од., що є на рівні аналогічного періоду минулого року.</w:t>
      </w:r>
    </w:p>
    <w:p w:rsidR="00C04443" w:rsidRPr="00C04443" w:rsidRDefault="00C04443" w:rsidP="00C04443">
      <w:pPr>
        <w:ind w:firstLine="900"/>
        <w:jc w:val="both"/>
        <w:rPr>
          <w:bCs/>
        </w:rPr>
      </w:pPr>
      <w:r w:rsidRPr="00C04443">
        <w:lastRenderedPageBreak/>
        <w:t xml:space="preserve">На оплату праці і нарахування на заробітну плату спрямовано 32219,0 тис.грн., або 100,0 відс. до уточненого річного плану. Забезпечено виконання норм статті 57 Закону України «Про освіту» в частині виплати  матеріальної допомоги на оздоровлення у сумі 658,0 тис.грн. та щорічної грошової винагороди педагогічним працівникам у сумі 169,7 тис.грн. за сумлінну працю і зразкове виконання службових обов’язків за результатами звітного року у середньому розмірі 33,0 відсотків посадового окладу з підвищенням. У порівнянні із відповідним періодом 2014 року видатки на оплату праці і нарахування на заробітну плату  збільшилися на 4194,3 тис.грн., або на 15,0 відс. Значне збільшення пов’язано із стрімким ростом індексації заробітної плати працівникам бюджетної сфери, збільшенням із 1 вересня 2015 року рівня мінімальної заробітної плати та із 1 грудня 2015 року </w:t>
      </w:r>
      <w:r w:rsidRPr="00C04443">
        <w:rPr>
          <w:color w:val="262626"/>
          <w:shd w:val="clear" w:color="auto" w:fill="FFFFFF"/>
        </w:rPr>
        <w:t>збільшення розміру посадового окладу працівника 1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w:t>
      </w:r>
      <w:r w:rsidRPr="00C04443">
        <w:t>. Питома вага видатків</w:t>
      </w:r>
      <w:r w:rsidRPr="00C04443">
        <w:rPr>
          <w:lang w:val="ru-RU"/>
        </w:rPr>
        <w:t xml:space="preserve"> н</w:t>
      </w:r>
      <w:r w:rsidRPr="00C04443">
        <w:t xml:space="preserve">а оплату праці і нарахування на заробітну плату в загальному обсязі видатків складає 71,6 відс. </w:t>
      </w:r>
    </w:p>
    <w:p w:rsidR="00C04443" w:rsidRPr="00C04443" w:rsidRDefault="00C04443" w:rsidP="00C04443">
      <w:pPr>
        <w:autoSpaceDE w:val="0"/>
        <w:autoSpaceDN w:val="0"/>
        <w:adjustRightInd w:val="0"/>
        <w:ind w:firstLine="539"/>
        <w:jc w:val="both"/>
      </w:pPr>
      <w:r w:rsidRPr="00C04443">
        <w:t>На оплату комунальних послуг та енергоносіїв спрямовано 2482,0 тис.грн., або 86,4 відс. до уточненого річного плану. У порівнянні з аналогічним періодом 2014 року видатки збільшились на 1057,1 тис.грн., або на 74,2 відс., що пов’язано в основному із збільшенням тарифів на комунальні послуги та енергоносії. Питома вага видатків на оплату комунальних послуг та енергоносіїв в загальному обсязі видатків складає 5,5 відс.</w:t>
      </w:r>
    </w:p>
    <w:p w:rsidR="00C04443" w:rsidRPr="00C04443" w:rsidRDefault="00C04443" w:rsidP="00C04443">
      <w:pPr>
        <w:ind w:firstLine="540"/>
        <w:jc w:val="both"/>
        <w:rPr>
          <w:lang w:val="ru-RU"/>
        </w:rPr>
      </w:pPr>
      <w:r w:rsidRPr="00C04443">
        <w:t xml:space="preserve">На інші видатки спрямовано 9482,1 тис.грн., або 99,6 відс. до уточненого річного плану. У порівнянні з аналогічним періодом 2014 року касові видатки збільшилися на 2773,1 тис.грн., або на 41,4 відс. </w:t>
      </w:r>
      <w:r w:rsidRPr="00C04443">
        <w:rPr>
          <w:lang w:val="ru-RU"/>
        </w:rPr>
        <w:t>(</w:t>
      </w:r>
      <w:r w:rsidRPr="00C04443">
        <w:t>без врахування субвенції з обласного бюджету на соціально-економічний розвиток регіонів у сумі 7,3 тис.грн.). Питома вага видатків на інші видатки в загальному обсязі видатків складає 21,1 відс.</w:t>
      </w:r>
    </w:p>
    <w:p w:rsidR="00C04443" w:rsidRPr="00C04443" w:rsidRDefault="00C04443" w:rsidP="00C04443">
      <w:pPr>
        <w:ind w:firstLine="540"/>
        <w:jc w:val="both"/>
      </w:pPr>
      <w:r w:rsidRPr="00C04443">
        <w:t>В складі інших видатків по галузі «Культура і мистецтво»</w:t>
      </w:r>
      <w:r w:rsidRPr="00C04443">
        <w:rPr>
          <w:b/>
          <w:i/>
        </w:rPr>
        <w:t xml:space="preserve"> </w:t>
      </w:r>
      <w:r w:rsidRPr="00C04443">
        <w:t>по департаменту освіти та гуманітарної політики, спрямовано видатки на:</w:t>
      </w:r>
    </w:p>
    <w:p w:rsidR="00C04443" w:rsidRPr="00C04443" w:rsidRDefault="00C04443" w:rsidP="00C04443">
      <w:pPr>
        <w:tabs>
          <w:tab w:val="left" w:pos="180"/>
        </w:tabs>
        <w:ind w:firstLine="540"/>
        <w:jc w:val="both"/>
      </w:pPr>
      <w:r w:rsidRPr="00C04443">
        <w:t xml:space="preserve">1) міську «Програму Черкаські таланти на 2010-2015 роки» в сумі 239,0 тис.грн., або 100,0 відс. до уточненого річного плану. У порівнянні із відповідним періодом 2014 року видатки збільшились на 145,9 тис.грн., або в 2,5 рази;  </w:t>
      </w:r>
    </w:p>
    <w:p w:rsidR="00C04443" w:rsidRPr="00C04443" w:rsidRDefault="00C04443" w:rsidP="00C04443">
      <w:pPr>
        <w:tabs>
          <w:tab w:val="left" w:pos="5220"/>
          <w:tab w:val="left" w:pos="5580"/>
          <w:tab w:val="left" w:pos="5760"/>
        </w:tabs>
        <w:ind w:firstLine="540"/>
        <w:jc w:val="both"/>
      </w:pPr>
      <w:r w:rsidRPr="00C04443">
        <w:t xml:space="preserve">2) міську «Програму розвитку культури міста Черкаси на 2011-2015 роки» в сумі 8541,2 тис.грн., або 100,0 відс. до уточненого річного плану. У порівнянні з відповідним періодом 2014 року видатки збільшились на 2306,4 тис.грн., або 37,0 відс., в т.ч.: </w:t>
      </w:r>
    </w:p>
    <w:p w:rsidR="00C04443" w:rsidRPr="00C04443" w:rsidRDefault="00C04443" w:rsidP="00C04443">
      <w:pPr>
        <w:ind w:firstLine="540"/>
        <w:jc w:val="both"/>
      </w:pPr>
      <w:r w:rsidRPr="00C04443">
        <w:t>- видатки на інші культурно-освітні заходи склали 424,1 тис.грн., або 100,0 відс. до уточненого річного плану. В порівнянні з 2014 роком видатки збільшились на 154,8 тис.грн., або 57,5 відс.;</w:t>
      </w:r>
    </w:p>
    <w:p w:rsidR="00C04443" w:rsidRPr="00C04443" w:rsidRDefault="00C04443" w:rsidP="00C04443">
      <w:pPr>
        <w:ind w:firstLine="540"/>
        <w:jc w:val="both"/>
      </w:pPr>
      <w:r w:rsidRPr="00C04443">
        <w:t xml:space="preserve">- надання фінансової підтримки Черкаському міському зоологічному парку видатки склали 3116,6 тис.грн., або 100,0 відс. до уточненого річного плану . У порівнянні з відповідним періодом  2014 року видатки збільшилися на 573,4 тис.грн., або 22,5 відс.; </w:t>
      </w:r>
    </w:p>
    <w:p w:rsidR="00C04443" w:rsidRPr="00C04443" w:rsidRDefault="00C04443" w:rsidP="00C04443">
      <w:pPr>
        <w:ind w:firstLine="540"/>
        <w:jc w:val="both"/>
      </w:pPr>
      <w:r w:rsidRPr="00C04443">
        <w:t>- надання фінансової підтримки КП «Дирекція парків» – 3950,6 тис.грн., або 100,0 відс. до уточненого річного плану. У порівнянні з відповідним періодом 2014 року видатки збільшилися на 528,3 тис.грн., або 15,4 відс.;</w:t>
      </w:r>
    </w:p>
    <w:p w:rsidR="00C04443" w:rsidRPr="00C04443" w:rsidRDefault="00C04443" w:rsidP="00C04443">
      <w:pPr>
        <w:ind w:firstLine="540"/>
        <w:jc w:val="both"/>
      </w:pPr>
      <w:r w:rsidRPr="00C04443">
        <w:t>- надання фінансової підтримки КП «Кінотеатр «Україна» - 1049,9 тис.грн., або 99,2 відс. до уточненого річного плану;</w:t>
      </w:r>
    </w:p>
    <w:p w:rsidR="00C04443" w:rsidRPr="00C04443" w:rsidRDefault="00C04443" w:rsidP="00C04443">
      <w:pPr>
        <w:tabs>
          <w:tab w:val="left" w:pos="180"/>
        </w:tabs>
        <w:ind w:firstLine="540"/>
        <w:jc w:val="both"/>
      </w:pPr>
      <w:r w:rsidRPr="00C04443">
        <w:t xml:space="preserve">3) </w:t>
      </w:r>
      <w:r w:rsidRPr="00C04443">
        <w:rPr>
          <w:lang w:val="ru-RU"/>
        </w:rPr>
        <w:t xml:space="preserve"> </w:t>
      </w:r>
      <w:r w:rsidRPr="00C04443">
        <w:t>міську «Програму виділення грантів у галузі культури м. Черкаси на 2013-2017 роки» – 195,1 тис.грн., або 100,0 відс. до уточненого річного плану. У порівнянні з відповідним періодом 2014 року видатки збільшились на 155,2 тис.грн., або майже в 5 разів.</w:t>
      </w:r>
    </w:p>
    <w:p w:rsidR="00C04443" w:rsidRPr="00C04443" w:rsidRDefault="00C04443" w:rsidP="00C04443">
      <w:pPr>
        <w:tabs>
          <w:tab w:val="left" w:pos="6120"/>
        </w:tabs>
        <w:ind w:firstLine="540"/>
        <w:jc w:val="both"/>
      </w:pPr>
      <w:r w:rsidRPr="00C04443">
        <w:t xml:space="preserve">На видатки </w:t>
      </w:r>
      <w:r w:rsidRPr="00C04443">
        <w:rPr>
          <w:bCs/>
          <w:iCs/>
        </w:rPr>
        <w:t>по Програмі організації та проведення святкових заходів, відзначення знаменних і пам`ятних дат</w:t>
      </w:r>
      <w:r w:rsidRPr="00C04443">
        <w:t xml:space="preserve"> у м. Черкаси по департаменту організаційного забезпечення Черкаської міської ради </w:t>
      </w:r>
      <w:r w:rsidRPr="00C04443">
        <w:rPr>
          <w:bCs/>
          <w:iCs/>
        </w:rPr>
        <w:t xml:space="preserve">спрямовано 807,1 тис.грн., або 97,9 відс. до уточненого річного плану. У порівнянні з відповідним періодом </w:t>
      </w:r>
      <w:r w:rsidRPr="00C04443">
        <w:t>2014 року видатки по Програмі збільшились на 394,2 тис.грн., або майже в 2 рази. Питома вага видатків на проведення заходів програми в загальному обсязі видатків складає 1,8 відс.</w:t>
      </w:r>
    </w:p>
    <w:p w:rsidR="00C04443" w:rsidRPr="00C04443" w:rsidRDefault="00C04443" w:rsidP="00C04443">
      <w:pPr>
        <w:ind w:firstLine="540"/>
        <w:jc w:val="both"/>
      </w:pPr>
      <w:r w:rsidRPr="00C04443">
        <w:t>По спеціальному фонду касові видатки</w:t>
      </w:r>
      <w:r w:rsidRPr="00C04443">
        <w:rPr>
          <w:b/>
        </w:rPr>
        <w:t xml:space="preserve"> </w:t>
      </w:r>
      <w:r w:rsidRPr="00C04443">
        <w:t>по галузі «Культура і мистецтво» склали 4998,6 тис.грн., що становить 84,6 відс. до уточненого річного плану, з них: 1) з</w:t>
      </w:r>
      <w:r w:rsidRPr="00C04443">
        <w:rPr>
          <w:lang w:val="ru-RU"/>
        </w:rPr>
        <w:t xml:space="preserve">а </w:t>
      </w:r>
      <w:r w:rsidRPr="00C04443">
        <w:t xml:space="preserve">рахунок власних </w:t>
      </w:r>
      <w:r w:rsidRPr="00C04443">
        <w:lastRenderedPageBreak/>
        <w:t>надходжень касові видатки склали 2097,5 тис.грн., або 92,6 відс. до уточненого річного плану по власних надходженнях, в тому числі: на оплату праці і нарахування на заробітну плату  спрямовано 1655,8 тис.грн., або 94,9 відс. до уточненого річного плану (питома вага в загальному обсязі видатків складає 33,1 відс.); на оплату комунальних послуг та енергоносіїв – 51,6 тис.грн., або 70,9 відс. до уточненого річного плану (питома вага в загальному обсязі видатків складає 1,0 відс.); на оплату інших видатків – 264,2 тис.грн., або 82,0 відс. до уточненого річного плану (питома вага в загальному обсязі видатків складає 5,3 відс.); на оплату капітальних видатків – 125,9 тис.грн., або 99,1 відс.; 2) за рахунок бюджету розвитку касові видатки склали 2901,1 тис.грн., або 79,7 відс. до уточненого річного плану, в т.ч. на капітальний ремонт – 2300,0 тис.грн., або 76,4 відс.; на придбання обладнання довгострокового користування – 601,1 тис.грн., або 94,5 відс. до уточненого річного плану. Питома вага в загальному обсязі видатків складає 60,6 відс.</w:t>
      </w:r>
    </w:p>
    <w:p w:rsidR="00C04443" w:rsidRPr="00C04443" w:rsidRDefault="00C04443" w:rsidP="00C04443">
      <w:pPr>
        <w:widowControl w:val="0"/>
        <w:ind w:firstLine="540"/>
        <w:jc w:val="both"/>
      </w:pPr>
      <w:r w:rsidRPr="00C04443">
        <w:t>Станом на 01.01.2016 року по загальному та спеціальному фонду кредиторська та дебіторська заборгованості відсутні.</w:t>
      </w:r>
    </w:p>
    <w:p w:rsidR="00C04443" w:rsidRPr="00C04443" w:rsidRDefault="00C04443" w:rsidP="00C04443">
      <w:pPr>
        <w:widowControl w:val="0"/>
        <w:spacing w:before="160"/>
        <w:jc w:val="center"/>
        <w:rPr>
          <w:bCs/>
        </w:rPr>
      </w:pPr>
      <w:r w:rsidRPr="00C04443">
        <w:rPr>
          <w:b/>
          <w:bCs/>
          <w:i/>
          <w:iCs/>
          <w:u w:val="single"/>
        </w:rPr>
        <w:t>Засоби масової інформації (КТКВК 120000)</w:t>
      </w:r>
    </w:p>
    <w:p w:rsidR="00C04443" w:rsidRPr="00C04443" w:rsidRDefault="00C04443" w:rsidP="00C04443">
      <w:pPr>
        <w:ind w:firstLine="550"/>
        <w:jc w:val="both"/>
        <w:rPr>
          <w:bCs/>
          <w:lang w:val="en-US"/>
        </w:rPr>
      </w:pPr>
      <w:r w:rsidRPr="00C04443">
        <w:rPr>
          <w:bCs/>
        </w:rPr>
        <w:t>За 2015 рік видатки загального фонду по галузі «Засоби масової інформації» склали 773,1 тис.грн., що становить 95,0 відс. до уточненого річного плану, що більше видатків аналогічного періоду 2014 року на 167,4 тис.грн., або на 27,6 відс. Кошти спрямовані на:</w:t>
      </w:r>
      <w:r w:rsidRPr="00C04443">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8"/>
        <w:gridCol w:w="1569"/>
        <w:gridCol w:w="1843"/>
        <w:gridCol w:w="1559"/>
      </w:tblGrid>
      <w:tr w:rsidR="00C04443" w:rsidRPr="00C04443" w:rsidTr="002F34D0">
        <w:trPr>
          <w:trHeight w:val="1228"/>
        </w:trPr>
        <w:tc>
          <w:tcPr>
            <w:tcW w:w="4668"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both"/>
            </w:pPr>
          </w:p>
          <w:p w:rsidR="00C04443" w:rsidRPr="00C04443" w:rsidRDefault="00C04443" w:rsidP="00C04443">
            <w:pPr>
              <w:jc w:val="center"/>
            </w:pPr>
            <w:r w:rsidRPr="00C04443">
              <w:t>Напрямки використання коштів</w:t>
            </w:r>
          </w:p>
        </w:tc>
        <w:tc>
          <w:tcPr>
            <w:tcW w:w="1569"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pPr>
            <w:r w:rsidRPr="00C04443">
              <w:t xml:space="preserve">Уточнений план </w:t>
            </w:r>
          </w:p>
          <w:p w:rsidR="00C04443" w:rsidRPr="00C04443" w:rsidRDefault="00C04443" w:rsidP="00C04443">
            <w:pPr>
              <w:jc w:val="center"/>
            </w:pPr>
            <w:r w:rsidRPr="00C04443">
              <w:t>на 2015 рік</w:t>
            </w:r>
            <w:r w:rsidRPr="00C04443">
              <w:rPr>
                <w:lang w:val="ru-RU"/>
              </w:rPr>
              <w:t>, тис</w:t>
            </w:r>
            <w:r w:rsidRPr="00C04443">
              <w:t>.</w:t>
            </w:r>
            <w:r w:rsidRPr="00C04443">
              <w:rPr>
                <w:lang w:val="ru-RU"/>
              </w:rPr>
              <w:t>грн.</w:t>
            </w:r>
          </w:p>
        </w:tc>
        <w:tc>
          <w:tcPr>
            <w:tcW w:w="1843"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pPr>
            <w:r w:rsidRPr="00C04443">
              <w:t>Касові видатки за 2015 рік,   тис.грн.</w:t>
            </w:r>
          </w:p>
        </w:tc>
        <w:tc>
          <w:tcPr>
            <w:tcW w:w="1559"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pPr>
            <w:r w:rsidRPr="00C04443">
              <w:t>%  до уточненого плану на 2015 рік</w:t>
            </w:r>
          </w:p>
        </w:tc>
      </w:tr>
      <w:tr w:rsidR="00C04443" w:rsidRPr="00C04443" w:rsidTr="002F34D0">
        <w:tc>
          <w:tcPr>
            <w:tcW w:w="4668"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ind w:left="-108"/>
              <w:jc w:val="both"/>
            </w:pPr>
            <w:r w:rsidRPr="00C04443">
              <w:t>Висвітлення діяльності міського голови, Черкаської міської ради, виконавчого комітету</w:t>
            </w:r>
          </w:p>
        </w:tc>
        <w:tc>
          <w:tcPr>
            <w:tcW w:w="1569"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rPr>
                <w:lang w:val="ru-RU"/>
              </w:rPr>
            </w:pPr>
            <w:r w:rsidRPr="00C04443">
              <w:rPr>
                <w:lang w:val="ru-RU"/>
              </w:rPr>
              <w:t>150,0</w:t>
            </w:r>
          </w:p>
        </w:tc>
        <w:tc>
          <w:tcPr>
            <w:tcW w:w="1843"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pPr>
            <w:r w:rsidRPr="00C04443">
              <w:t>121,2</w:t>
            </w:r>
          </w:p>
        </w:tc>
        <w:tc>
          <w:tcPr>
            <w:tcW w:w="1559"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pPr>
            <w:r w:rsidRPr="00C04443">
              <w:t>81,0</w:t>
            </w:r>
          </w:p>
        </w:tc>
      </w:tr>
      <w:tr w:rsidR="00C04443" w:rsidRPr="00C04443" w:rsidTr="002F34D0">
        <w:tc>
          <w:tcPr>
            <w:tcW w:w="4668"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ind w:left="-108"/>
              <w:jc w:val="both"/>
            </w:pPr>
            <w:r w:rsidRPr="00C04443">
              <w:t>Розробка</w:t>
            </w:r>
            <w:r w:rsidRPr="00C04443">
              <w:rPr>
                <w:lang w:val="ru-RU"/>
              </w:rPr>
              <w:t xml:space="preserve">, </w:t>
            </w:r>
            <w:r w:rsidRPr="00C04443">
              <w:t>виготовлення</w:t>
            </w:r>
            <w:r w:rsidRPr="00C04443">
              <w:rPr>
                <w:lang w:val="ru-RU"/>
              </w:rPr>
              <w:t xml:space="preserve"> </w:t>
            </w:r>
            <w:r w:rsidRPr="00C04443">
              <w:t>та розміщення соціальної реклами та іміджевих матеріалів</w:t>
            </w:r>
          </w:p>
        </w:tc>
        <w:tc>
          <w:tcPr>
            <w:tcW w:w="1569"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pPr>
            <w:r w:rsidRPr="00C04443">
              <w:t>154,7</w:t>
            </w:r>
          </w:p>
        </w:tc>
        <w:tc>
          <w:tcPr>
            <w:tcW w:w="1843"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pPr>
            <w:r w:rsidRPr="00C04443">
              <w:t>142,9</w:t>
            </w:r>
          </w:p>
        </w:tc>
        <w:tc>
          <w:tcPr>
            <w:tcW w:w="1559"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pPr>
            <w:r w:rsidRPr="00C04443">
              <w:t>92,4</w:t>
            </w:r>
          </w:p>
        </w:tc>
      </w:tr>
      <w:tr w:rsidR="00C04443" w:rsidRPr="00C04443" w:rsidTr="002F34D0">
        <w:tc>
          <w:tcPr>
            <w:tcW w:w="4668"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ind w:left="-108"/>
              <w:jc w:val="both"/>
            </w:pPr>
            <w:r w:rsidRPr="00C04443">
              <w:t>Кредиторська заборгованість 2014 року (розробка</w:t>
            </w:r>
            <w:r w:rsidRPr="00C04443">
              <w:rPr>
                <w:lang w:val="ru-RU"/>
              </w:rPr>
              <w:t xml:space="preserve">, </w:t>
            </w:r>
            <w:r w:rsidRPr="00C04443">
              <w:t>виготовлення</w:t>
            </w:r>
            <w:r w:rsidRPr="00C04443">
              <w:rPr>
                <w:lang w:val="ru-RU"/>
              </w:rPr>
              <w:t xml:space="preserve"> </w:t>
            </w:r>
            <w:r w:rsidRPr="00C04443">
              <w:t>та розміщення соціальної реклами, висвітлення діяльності міського голови на радіо та телебаченні)</w:t>
            </w:r>
          </w:p>
        </w:tc>
        <w:tc>
          <w:tcPr>
            <w:tcW w:w="1569"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pPr>
            <w:r w:rsidRPr="00C04443">
              <w:t>32,5</w:t>
            </w:r>
          </w:p>
        </w:tc>
        <w:tc>
          <w:tcPr>
            <w:tcW w:w="1843"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pPr>
            <w:r w:rsidRPr="00C04443">
              <w:t>32,5</w:t>
            </w:r>
          </w:p>
        </w:tc>
        <w:tc>
          <w:tcPr>
            <w:tcW w:w="1559"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pPr>
            <w:r w:rsidRPr="00C04443">
              <w:t>100,0</w:t>
            </w:r>
          </w:p>
        </w:tc>
      </w:tr>
      <w:tr w:rsidR="00C04443" w:rsidRPr="00C04443" w:rsidTr="002F34D0">
        <w:tc>
          <w:tcPr>
            <w:tcW w:w="4668"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ind w:left="-108"/>
              <w:jc w:val="both"/>
            </w:pPr>
            <w:r w:rsidRPr="00C04443">
              <w:t>Фінансова підтримка МІА «Черкаси»</w:t>
            </w:r>
          </w:p>
        </w:tc>
        <w:tc>
          <w:tcPr>
            <w:tcW w:w="1569"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pPr>
            <w:r w:rsidRPr="00C04443">
              <w:t>476,5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443" w:rsidRPr="00C04443" w:rsidRDefault="00C04443" w:rsidP="00C04443">
            <w:pPr>
              <w:jc w:val="center"/>
            </w:pPr>
            <w:r w:rsidRPr="00C04443">
              <w:t>476,5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4443" w:rsidRPr="00C04443" w:rsidRDefault="00C04443" w:rsidP="00C04443">
            <w:pPr>
              <w:jc w:val="center"/>
            </w:pPr>
            <w:r w:rsidRPr="00C04443">
              <w:t>100,0</w:t>
            </w:r>
          </w:p>
        </w:tc>
      </w:tr>
      <w:tr w:rsidR="00C04443" w:rsidRPr="00C04443" w:rsidTr="002F34D0">
        <w:tc>
          <w:tcPr>
            <w:tcW w:w="4668"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rPr>
                <w:b/>
              </w:rPr>
            </w:pPr>
            <w:r w:rsidRPr="00C04443">
              <w:rPr>
                <w:b/>
              </w:rPr>
              <w:t>Всього</w:t>
            </w:r>
          </w:p>
        </w:tc>
        <w:tc>
          <w:tcPr>
            <w:tcW w:w="1569"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rPr>
                <w:b/>
              </w:rPr>
            </w:pPr>
            <w:r w:rsidRPr="00C04443">
              <w:rPr>
                <w:b/>
              </w:rPr>
              <w:t>813,7</w:t>
            </w:r>
          </w:p>
        </w:tc>
        <w:tc>
          <w:tcPr>
            <w:tcW w:w="1843"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rPr>
                <w:b/>
              </w:rPr>
            </w:pPr>
            <w:r w:rsidRPr="00C04443">
              <w:rPr>
                <w:b/>
              </w:rPr>
              <w:t>773,1</w:t>
            </w:r>
          </w:p>
        </w:tc>
        <w:tc>
          <w:tcPr>
            <w:tcW w:w="1559" w:type="dxa"/>
            <w:tcBorders>
              <w:top w:val="single" w:sz="4" w:space="0" w:color="auto"/>
              <w:left w:val="single" w:sz="4" w:space="0" w:color="auto"/>
              <w:bottom w:val="single" w:sz="4" w:space="0" w:color="auto"/>
              <w:right w:val="single" w:sz="4" w:space="0" w:color="auto"/>
            </w:tcBorders>
          </w:tcPr>
          <w:p w:rsidR="00C04443" w:rsidRPr="00C04443" w:rsidRDefault="00C04443" w:rsidP="00C04443">
            <w:pPr>
              <w:jc w:val="center"/>
              <w:rPr>
                <w:b/>
              </w:rPr>
            </w:pPr>
            <w:r w:rsidRPr="00C04443">
              <w:rPr>
                <w:b/>
              </w:rPr>
              <w:t>95,0</w:t>
            </w:r>
          </w:p>
        </w:tc>
      </w:tr>
    </w:tbl>
    <w:p w:rsidR="00C04443" w:rsidRPr="00C04443" w:rsidRDefault="00C04443" w:rsidP="00C04443">
      <w:pPr>
        <w:widowControl w:val="0"/>
        <w:ind w:firstLine="567"/>
        <w:jc w:val="both"/>
        <w:rPr>
          <w:b/>
          <w:bCs/>
          <w:i/>
          <w:iCs/>
          <w:u w:val="single"/>
          <w:lang w:val="ru-RU"/>
        </w:rPr>
      </w:pPr>
      <w:r w:rsidRPr="00C04443">
        <w:t>Станом на 01.01.2016 року по загальному фонду кредиторська та дебіторська заборгованості відсутні.</w:t>
      </w:r>
    </w:p>
    <w:p w:rsidR="00C04443" w:rsidRPr="00C04443" w:rsidRDefault="00C04443" w:rsidP="00C04443">
      <w:pPr>
        <w:rPr>
          <w:sz w:val="22"/>
          <w:highlight w:val="yellow"/>
          <w:lang w:val="ru-RU"/>
        </w:rPr>
      </w:pPr>
    </w:p>
    <w:p w:rsidR="00C04443" w:rsidRPr="00C04443" w:rsidRDefault="00C04443" w:rsidP="00C04443">
      <w:pPr>
        <w:jc w:val="center"/>
        <w:outlineLvl w:val="0"/>
        <w:rPr>
          <w:b/>
          <w:bCs/>
          <w:i/>
          <w:iCs/>
          <w:u w:val="single"/>
        </w:rPr>
      </w:pPr>
      <w:r w:rsidRPr="00C04443">
        <w:rPr>
          <w:b/>
          <w:bCs/>
          <w:i/>
          <w:iCs/>
          <w:u w:val="single"/>
        </w:rPr>
        <w:t xml:space="preserve">КТКВК 130000 «Фізична культура і спорт» </w:t>
      </w:r>
    </w:p>
    <w:p w:rsidR="00C04443" w:rsidRPr="00C04443" w:rsidRDefault="00C04443" w:rsidP="00C04443">
      <w:pPr>
        <w:ind w:firstLine="567"/>
        <w:jc w:val="both"/>
      </w:pPr>
      <w:r w:rsidRPr="00C04443">
        <w:t xml:space="preserve">Головним розпорядником коштів по галузі «Фізична культура і спорт» визначено департамент освіти та гуманітарної політики Черкаської міської ради, якому підпорядковано 11 установ, в т.ч.: 8 дитячо-юнацьких спортивних шкіл, 2 комунальних підприємства: КП «Центральний стадіон» та КП «СК «Будівельник» (одержувачі коштів) та централізована бухгалтерія. </w:t>
      </w:r>
    </w:p>
    <w:p w:rsidR="00C04443" w:rsidRPr="00C04443" w:rsidRDefault="00C04443" w:rsidP="00C04443">
      <w:pPr>
        <w:widowControl w:val="0"/>
        <w:ind w:firstLine="567"/>
        <w:jc w:val="both"/>
        <w:rPr>
          <w:rFonts w:eastAsia="MS Mincho"/>
          <w:lang w:eastAsia="x-none"/>
        </w:rPr>
      </w:pPr>
      <w:r w:rsidRPr="00C04443">
        <w:rPr>
          <w:rFonts w:eastAsia="MS Mincho"/>
          <w:lang w:eastAsia="x-none"/>
        </w:rPr>
        <w:t xml:space="preserve">Касові видатки за 2015 рік по галузі «Фізична культура і спорт» склали 16276,6 тис.грн. в т.ч. по загальному фонду – 14776,6 тис.грн., що склало 96,0 відс. від річних бюджетних призначень з урахуванням змін, з них: </w:t>
      </w:r>
      <w:r w:rsidRPr="00C04443">
        <w:rPr>
          <w:bCs/>
          <w:iCs/>
          <w:szCs w:val="20"/>
          <w:lang w:eastAsia="x-none"/>
        </w:rPr>
        <w:t>субвенція з державного бюджету місцевим бюджетам на часткове фінансування ДЮСШ «Надія» фізкультурно-спортивного товариства «Україна», яка до 2015 року отримувала підтримку з Фонду соціального страхування з тимчасової втрати працездатності – 200,0 тис.грн., або 100,0 відс.</w:t>
      </w:r>
      <w:r w:rsidRPr="00C04443">
        <w:rPr>
          <w:rFonts w:eastAsia="MS Mincho"/>
          <w:lang w:eastAsia="x-none"/>
        </w:rPr>
        <w:t xml:space="preserve"> та за спеціальним фондом –  1500,0 тис.грн., або 82,1 відс. За загальним фондом фінансування галузі протягом звітного пероду 2015 року збільшено в порівнянні з відповідним періодом минулого року </w:t>
      </w:r>
      <w:r w:rsidRPr="00C04443">
        <w:rPr>
          <w:szCs w:val="20"/>
          <w:lang w:eastAsia="x-none"/>
        </w:rPr>
        <w:t>на 3145,7 тис.грн., або на 27,0 відс.</w:t>
      </w:r>
    </w:p>
    <w:tbl>
      <w:tblPr>
        <w:tblW w:w="22029" w:type="dxa"/>
        <w:tblInd w:w="108" w:type="dxa"/>
        <w:tblLook w:val="04A0" w:firstRow="1" w:lastRow="0" w:firstColumn="1" w:lastColumn="0" w:noHBand="0" w:noVBand="1"/>
      </w:tblPr>
      <w:tblGrid>
        <w:gridCol w:w="10913"/>
        <w:gridCol w:w="1276"/>
        <w:gridCol w:w="976"/>
        <w:gridCol w:w="1256"/>
        <w:gridCol w:w="976"/>
        <w:gridCol w:w="976"/>
        <w:gridCol w:w="976"/>
        <w:gridCol w:w="976"/>
        <w:gridCol w:w="976"/>
        <w:gridCol w:w="976"/>
        <w:gridCol w:w="776"/>
        <w:gridCol w:w="976"/>
      </w:tblGrid>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ind w:right="1938"/>
              <w:rPr>
                <w:rFonts w:ascii="Calibri" w:hAnsi="Calibri"/>
                <w:color w:val="000000"/>
                <w:sz w:val="22"/>
                <w:szCs w:val="22"/>
              </w:rPr>
            </w:pPr>
            <w:r>
              <w:rPr>
                <w:rFonts w:ascii="Calibri" w:hAnsi="Calibri"/>
                <w:noProof/>
                <w:color w:val="000000"/>
                <w:sz w:val="22"/>
                <w:lang w:val="ru-RU"/>
              </w:rPr>
              <w:drawing>
                <wp:anchor distT="0" distB="4294967257" distL="120396" distR="114300" simplePos="0" relativeHeight="251667456" behindDoc="0" locked="0" layoutInCell="1" allowOverlap="1">
                  <wp:simplePos x="0" y="0"/>
                  <wp:positionH relativeFrom="column">
                    <wp:posOffset>-1054989</wp:posOffset>
                  </wp:positionH>
                  <wp:positionV relativeFrom="paragraph">
                    <wp:posOffset>94615</wp:posOffset>
                  </wp:positionV>
                  <wp:extent cx="7828915" cy="3850005"/>
                  <wp:effectExtent l="0" t="0" r="635" b="0"/>
                  <wp:wrapNone/>
                  <wp:docPr id="56" name="Диаграмма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140"/>
            </w:tblGrid>
            <w:tr w:rsidR="00C04443" w:rsidRPr="00C04443" w:rsidTr="002F34D0">
              <w:trPr>
                <w:trHeight w:val="300"/>
                <w:tblCellSpacing w:w="0" w:type="dxa"/>
              </w:trPr>
              <w:tc>
                <w:tcPr>
                  <w:tcW w:w="1140"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r>
                    <w:rPr>
                      <w:rFonts w:ascii="Calibri" w:hAnsi="Calibri"/>
                      <w:noProof/>
                      <w:color w:val="000000"/>
                      <w:sz w:val="22"/>
                      <w:szCs w:val="22"/>
                      <w:lang w:val="ru-RU"/>
                    </w:rPr>
                    <mc:AlternateContent>
                      <mc:Choice Requires="wps">
                        <w:drawing>
                          <wp:anchor distT="0" distB="6858" distL="114300" distR="115951" simplePos="0" relativeHeight="251668480" behindDoc="0" locked="0" layoutInCell="1" allowOverlap="1">
                            <wp:simplePos x="0" y="0"/>
                            <wp:positionH relativeFrom="column">
                              <wp:posOffset>3747770</wp:posOffset>
                            </wp:positionH>
                            <wp:positionV relativeFrom="paragraph">
                              <wp:posOffset>76200</wp:posOffset>
                            </wp:positionV>
                            <wp:extent cx="1696720" cy="831850"/>
                            <wp:effectExtent l="11430" t="9525" r="6350" b="101600"/>
                            <wp:wrapNone/>
                            <wp:docPr id="55" name="Выноска-облако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831850"/>
                                    </a:xfrm>
                                    <a:prstGeom prst="cloudCallout">
                                      <a:avLst>
                                        <a:gd name="adj1" fmla="val -19875"/>
                                        <a:gd name="adj2" fmla="val 56944"/>
                                      </a:avLst>
                                    </a:prstGeom>
                                    <a:gradFill rotWithShape="1">
                                      <a:gsLst>
                                        <a:gs pos="0">
                                          <a:srgbClr val="FFFFFF">
                                            <a:alpha val="92000"/>
                                          </a:srgbClr>
                                        </a:gs>
                                        <a:gs pos="100000">
                                          <a:srgbClr val="CCCCFF">
                                            <a:alpha val="80000"/>
                                          </a:srgbClr>
                                        </a:gs>
                                      </a:gsLst>
                                      <a:lin ang="54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443" w:rsidRPr="008B72DE" w:rsidRDefault="00C04443" w:rsidP="00C04443">
                                        <w:pPr>
                                          <w:jc w:val="center"/>
                                          <w:rPr>
                                            <w:rFonts w:ascii="Calibri" w:hAnsi="Calibri"/>
                                            <w:b/>
                                            <w:szCs w:val="22"/>
                                          </w:rPr>
                                        </w:pPr>
                                        <w:r w:rsidRPr="008B72DE">
                                          <w:rPr>
                                            <w:rFonts w:ascii="Calibri" w:hAnsi="Calibri"/>
                                            <w:b/>
                                            <w:szCs w:val="22"/>
                                          </w:rPr>
                                          <w:t>Всього</w:t>
                                        </w:r>
                                      </w:p>
                                      <w:p w:rsidR="00C04443" w:rsidRPr="008B72DE" w:rsidRDefault="00C04443" w:rsidP="00C04443">
                                        <w:pPr>
                                          <w:jc w:val="center"/>
                                          <w:rPr>
                                            <w:rFonts w:ascii="Calibri" w:hAnsi="Calibri"/>
                                            <w:b/>
                                            <w:szCs w:val="22"/>
                                          </w:rPr>
                                        </w:pPr>
                                        <w:r w:rsidRPr="008B72DE">
                                          <w:rPr>
                                            <w:rFonts w:ascii="Calibri" w:hAnsi="Calibri"/>
                                            <w:b/>
                                            <w:szCs w:val="22"/>
                                          </w:rPr>
                                          <w:t>2015 рік</w:t>
                                        </w:r>
                                      </w:p>
                                      <w:p w:rsidR="00C04443" w:rsidRPr="008B72DE" w:rsidRDefault="00C04443" w:rsidP="00C04443">
                                        <w:pPr>
                                          <w:jc w:val="center"/>
                                          <w:rPr>
                                            <w:rFonts w:ascii="Calibri" w:hAnsi="Calibri"/>
                                            <w:b/>
                                            <w:szCs w:val="22"/>
                                          </w:rPr>
                                        </w:pPr>
                                        <w:r w:rsidRPr="008B72DE">
                                          <w:rPr>
                                            <w:rFonts w:ascii="Calibri" w:hAnsi="Calibri"/>
                                            <w:b/>
                                            <w:szCs w:val="22"/>
                                          </w:rPr>
                                          <w:t>14776,6 тис.грн.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55" o:spid="_x0000_s1029" type="#_x0000_t106" style="position:absolute;margin-left:295.1pt;margin-top:6pt;width:133.6pt;height:65.5pt;z-index:251668480;visibility:visible;mso-wrap-style:square;mso-width-percent:0;mso-height-percent:0;mso-wrap-distance-left:9pt;mso-wrap-distance-top:0;mso-wrap-distance-right:9.13pt;mso-wrap-distance-bottom:.5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" adj="6507,23100">
                            <v:fill opacity="60293f" color2="#ccf" o:opacity2="52428f" rotate="t" focus="100%" type="gradient"/>
                            <v:textbox>
                              <w:txbxContent>
                                <w:p w:rsidR="00C04443" w:rsidRPr="008B72DE" w:rsidRDefault="00C04443" w:rsidP="00C04443">
                                  <w:pPr>
                                    <w:jc w:val="center"/>
                                    <w:rPr>
                                      <w:rFonts w:ascii="Calibri" w:hAnsi="Calibri"/>
                                      <w:b/>
                                      <w:szCs w:val="22"/>
                                    </w:rPr>
                                  </w:pPr>
                                  <w:r w:rsidRPr="008B72DE">
                                    <w:rPr>
                                      <w:rFonts w:ascii="Calibri" w:hAnsi="Calibri"/>
                                      <w:b/>
                                      <w:szCs w:val="22"/>
                                    </w:rPr>
                                    <w:t>Всього</w:t>
                                  </w:r>
                                </w:p>
                                <w:p w:rsidR="00C04443" w:rsidRPr="008B72DE" w:rsidRDefault="00C04443" w:rsidP="00C04443">
                                  <w:pPr>
                                    <w:jc w:val="center"/>
                                    <w:rPr>
                                      <w:rFonts w:ascii="Calibri" w:hAnsi="Calibri"/>
                                      <w:b/>
                                      <w:szCs w:val="22"/>
                                    </w:rPr>
                                  </w:pPr>
                                  <w:r w:rsidRPr="008B72DE">
                                    <w:rPr>
                                      <w:rFonts w:ascii="Calibri" w:hAnsi="Calibri"/>
                                      <w:b/>
                                      <w:szCs w:val="22"/>
                                    </w:rPr>
                                    <w:t>2015 рік</w:t>
                                  </w:r>
                                </w:p>
                                <w:p w:rsidR="00C04443" w:rsidRPr="008B72DE" w:rsidRDefault="00C04443" w:rsidP="00C04443">
                                  <w:pPr>
                                    <w:jc w:val="center"/>
                                    <w:rPr>
                                      <w:rFonts w:ascii="Calibri" w:hAnsi="Calibri"/>
                                      <w:b/>
                                      <w:szCs w:val="22"/>
                                    </w:rPr>
                                  </w:pPr>
                                  <w:r w:rsidRPr="008B72DE">
                                    <w:rPr>
                                      <w:rFonts w:ascii="Calibri" w:hAnsi="Calibri"/>
                                      <w:b/>
                                      <w:szCs w:val="22"/>
                                    </w:rPr>
                                    <w:t>14776,6 тис.грн.</w:t>
                                  </w:r>
                                </w:p>
                              </w:txbxContent>
                            </v:textbox>
                          </v:shape>
                        </w:pict>
                      </mc:Fallback>
                    </mc:AlternateContent>
                  </w:r>
                </w:p>
              </w:tc>
            </w:tr>
          </w:tbl>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r>
              <w:rPr>
                <w:rFonts w:ascii="Calibri" w:hAnsi="Calibri"/>
                <w:noProof/>
                <w:color w:val="000000"/>
                <w:sz w:val="22"/>
                <w:lang w:val="ru-RU"/>
              </w:rPr>
              <mc:AlternateContent>
                <mc:Choice Requires="wps">
                  <w:drawing>
                    <wp:anchor distT="0" distB="0" distL="114300" distR="114300" simplePos="0" relativeHeight="251665408" behindDoc="0" locked="0" layoutInCell="1" allowOverlap="1">
                      <wp:simplePos x="0" y="0"/>
                      <wp:positionH relativeFrom="column">
                        <wp:posOffset>3738880</wp:posOffset>
                      </wp:positionH>
                      <wp:positionV relativeFrom="paragraph">
                        <wp:posOffset>15494</wp:posOffset>
                      </wp:positionV>
                      <wp:extent cx="1504315" cy="809625"/>
                      <wp:effectExtent l="19050" t="0" r="38735" b="14287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1" cy="685800"/>
                              </a:xfrm>
                              <a:prstGeom prst="cloudCallout">
                                <a:avLst>
                                  <a:gd name="adj1" fmla="val -45412"/>
                                  <a:gd name="adj2" fmla="val 60713"/>
                                </a:avLst>
                              </a:prstGeom>
                              <a:gradFill rotWithShape="1">
                                <a:gsLst>
                                  <a:gs pos="0">
                                    <a:srgbClr val="FFFFFF"/>
                                  </a:gs>
                                  <a:gs pos="100000">
                                    <a:srgbClr val="CCCCFF"/>
                                  </a:gs>
                                </a:gsLst>
                                <a:lin ang="5400000" scaled="1"/>
                              </a:gradFill>
                              <a:ln w="9525">
                                <a:solidFill>
                                  <a:srgbClr val="000000"/>
                                </a:solidFill>
                                <a:round/>
                                <a:headEnd/>
                                <a:tailEnd/>
                              </a:ln>
                            </wps:spPr>
                            <wps:txbx>
                              <w:txbxContent>
                                <w:p w:rsidR="00C04443" w:rsidRDefault="00C04443" w:rsidP="00C04443">
                                  <w:pPr>
                                    <w:pStyle w:val="afa"/>
                                    <w:bidi/>
                                    <w:spacing w:before="0" w:beforeAutospacing="0" w:after="0" w:afterAutospacing="0"/>
                                    <w:jc w:val="center"/>
                                  </w:pPr>
                                  <w:r>
                                    <w:rPr>
                                      <w:rFonts w:ascii="Arial" w:hAnsi="Arial" w:cs="Arial"/>
                                      <w:b/>
                                      <w:bCs/>
                                      <w:color w:val="000000"/>
                                      <w:sz w:val="18"/>
                                      <w:szCs w:val="18"/>
                                      <w:lang w:val="ru-RU"/>
                                    </w:rPr>
                                    <w:t>Всього</w:t>
                                  </w:r>
                                </w:p>
                                <w:p w:rsidR="00C04443" w:rsidRDefault="00C04443" w:rsidP="00C04443">
                                  <w:pPr>
                                    <w:pStyle w:val="afa"/>
                                    <w:bidi/>
                                    <w:spacing w:before="0" w:beforeAutospacing="0" w:after="0" w:afterAutospacing="0"/>
                                    <w:jc w:val="center"/>
                                  </w:pPr>
                                  <w:r>
                                    <w:rPr>
                                      <w:rFonts w:ascii="Arial" w:hAnsi="Arial" w:cs="Arial"/>
                                      <w:b/>
                                      <w:bCs/>
                                      <w:color w:val="000000"/>
                                      <w:sz w:val="18"/>
                                      <w:szCs w:val="18"/>
                                      <w:lang w:val="ru-RU"/>
                                    </w:rPr>
                                    <w:t>2015 рік</w:t>
                                  </w:r>
                                </w:p>
                                <w:p w:rsidR="00C04443" w:rsidRDefault="00C04443" w:rsidP="00C04443">
                                  <w:pPr>
                                    <w:pStyle w:val="afa"/>
                                    <w:bidi/>
                                    <w:spacing w:before="0" w:beforeAutospacing="0" w:after="0" w:afterAutospacing="0"/>
                                    <w:jc w:val="center"/>
                                  </w:pPr>
                                  <w:r>
                                    <w:rPr>
                                      <w:rFonts w:ascii="Arial" w:hAnsi="Arial" w:cs="Arial"/>
                                      <w:b/>
                                      <w:bCs/>
                                      <w:color w:val="000000"/>
                                      <w:sz w:val="18"/>
                                      <w:szCs w:val="18"/>
                                      <w:lang w:val="ru-RU"/>
                                    </w:rPr>
                                    <w:t>14576,6 тис.грн.</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AutoShape 6" o:spid="_x0000_s1030" type="#_x0000_t106" style="position:absolute;margin-left:294.4pt;margin-top:1.2pt;width:118.4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" adj="991,23914">
                      <v:fill color2="#ccf" rotate="t" focus="100%" type="gradient"/>
                      <v:textbox inset="2.16pt,1.8pt,2.16pt,0">
                        <w:txbxContent>
                          <w:p w:rsidR="00C04443" w:rsidRDefault="00C04443" w:rsidP="00C04443">
                            <w:pPr>
                              <w:pStyle w:val="afa"/>
                              <w:bidi/>
                              <w:spacing w:before="0" w:beforeAutospacing="0" w:after="0" w:afterAutospacing="0"/>
                              <w:jc w:val="center"/>
                            </w:pPr>
                            <w:r>
                              <w:rPr>
                                <w:rFonts w:ascii="Arial" w:hAnsi="Arial" w:cs="Arial"/>
                                <w:b/>
                                <w:bCs/>
                                <w:color w:val="000000"/>
                                <w:sz w:val="18"/>
                                <w:szCs w:val="18"/>
                                <w:lang w:val="ru-RU"/>
                              </w:rPr>
                              <w:t>Всього</w:t>
                            </w:r>
                          </w:p>
                          <w:p w:rsidR="00C04443" w:rsidRDefault="00C04443" w:rsidP="00C04443">
                            <w:pPr>
                              <w:pStyle w:val="afa"/>
                              <w:bidi/>
                              <w:spacing w:before="0" w:beforeAutospacing="0" w:after="0" w:afterAutospacing="0"/>
                              <w:jc w:val="center"/>
                            </w:pPr>
                            <w:r>
                              <w:rPr>
                                <w:rFonts w:ascii="Arial" w:hAnsi="Arial" w:cs="Arial"/>
                                <w:b/>
                                <w:bCs/>
                                <w:color w:val="000000"/>
                                <w:sz w:val="18"/>
                                <w:szCs w:val="18"/>
                                <w:lang w:val="ru-RU"/>
                              </w:rPr>
                              <w:t>2015 рік</w:t>
                            </w:r>
                          </w:p>
                          <w:p w:rsidR="00C04443" w:rsidRDefault="00C04443" w:rsidP="00C04443">
                            <w:pPr>
                              <w:pStyle w:val="afa"/>
                              <w:bidi/>
                              <w:spacing w:before="0" w:beforeAutospacing="0" w:after="0" w:afterAutospacing="0"/>
                              <w:jc w:val="center"/>
                            </w:pPr>
                            <w:r>
                              <w:rPr>
                                <w:rFonts w:ascii="Arial" w:hAnsi="Arial" w:cs="Arial"/>
                                <w:b/>
                                <w:bCs/>
                                <w:color w:val="000000"/>
                                <w:sz w:val="18"/>
                                <w:szCs w:val="18"/>
                                <w:lang w:val="ru-RU"/>
                              </w:rPr>
                              <w:t>14576,6 тис.грн.</w:t>
                            </w:r>
                          </w:p>
                        </w:txbxContent>
                      </v:textbox>
                    </v:shape>
                  </w:pict>
                </mc:Fallback>
              </mc:AlternateContent>
            </w: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r>
              <w:rPr>
                <w:rFonts w:ascii="Calibri" w:hAnsi="Calibri"/>
                <w:noProof/>
                <w:color w:val="000000"/>
                <w:sz w:val="22"/>
                <w:szCs w:val="22"/>
                <w:lang w:val="ru-RU"/>
              </w:rPr>
              <mc:AlternateContent>
                <mc:Choice Requires="wps">
                  <w:drawing>
                    <wp:anchor distT="0" distB="0" distL="114300" distR="114300" simplePos="0" relativeHeight="251666432" behindDoc="0" locked="0" layoutInCell="1" allowOverlap="1">
                      <wp:simplePos x="0" y="0"/>
                      <wp:positionH relativeFrom="column">
                        <wp:posOffset>3472180</wp:posOffset>
                      </wp:positionH>
                      <wp:positionV relativeFrom="paragraph">
                        <wp:posOffset>-19050</wp:posOffset>
                      </wp:positionV>
                      <wp:extent cx="1504950" cy="932180"/>
                      <wp:effectExtent l="19050" t="0" r="38100" b="153670"/>
                      <wp:wrapNone/>
                      <wp:docPr id="53" name="Выноска-облако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1" cy="685800"/>
                              </a:xfrm>
                              <a:prstGeom prst="cloudCallout">
                                <a:avLst>
                                  <a:gd name="adj1" fmla="val -45412"/>
                                  <a:gd name="adj2" fmla="val 60713"/>
                                </a:avLst>
                              </a:prstGeom>
                              <a:gradFill rotWithShape="1">
                                <a:gsLst>
                                  <a:gs pos="0">
                                    <a:srgbClr val="FFFFFF"/>
                                  </a:gs>
                                  <a:gs pos="100000">
                                    <a:srgbClr val="CCCCFF"/>
                                  </a:gs>
                                </a:gsLst>
                                <a:lin ang="5400000" scaled="1"/>
                              </a:gradFill>
                              <a:ln w="9525">
                                <a:solidFill>
                                  <a:srgbClr val="000000"/>
                                </a:solidFill>
                                <a:round/>
                                <a:headEnd/>
                                <a:tailEnd/>
                              </a:ln>
                            </wps:spPr>
                            <wps:txbx>
                              <w:txbxContent>
                                <w:p w:rsidR="00C04443" w:rsidRDefault="00C04443" w:rsidP="00C04443">
                                  <w:pPr>
                                    <w:pStyle w:val="afa"/>
                                    <w:bidi/>
                                    <w:spacing w:before="0" w:beforeAutospacing="0" w:after="0" w:afterAutospacing="0"/>
                                    <w:jc w:val="center"/>
                                  </w:pPr>
                                  <w:r>
                                    <w:rPr>
                                      <w:rFonts w:ascii="Arial" w:hAnsi="Arial" w:cs="Arial"/>
                                      <w:b/>
                                      <w:bCs/>
                                      <w:color w:val="000000"/>
                                      <w:sz w:val="18"/>
                                      <w:szCs w:val="18"/>
                                      <w:lang w:val="ru-RU"/>
                                    </w:rPr>
                                    <w:t>Всього</w:t>
                                  </w:r>
                                </w:p>
                                <w:p w:rsidR="00C04443" w:rsidRDefault="00C04443" w:rsidP="00C04443">
                                  <w:pPr>
                                    <w:pStyle w:val="afa"/>
                                    <w:bidi/>
                                    <w:spacing w:before="0" w:beforeAutospacing="0" w:after="0" w:afterAutospacing="0"/>
                                    <w:jc w:val="center"/>
                                  </w:pPr>
                                  <w:r>
                                    <w:rPr>
                                      <w:rFonts w:ascii="Arial" w:hAnsi="Arial" w:cs="Arial"/>
                                      <w:b/>
                                      <w:bCs/>
                                      <w:color w:val="000000"/>
                                      <w:sz w:val="18"/>
                                      <w:szCs w:val="18"/>
                                      <w:lang w:val="ru-RU"/>
                                    </w:rPr>
                                    <w:t>2015 рік</w:t>
                                  </w:r>
                                </w:p>
                                <w:p w:rsidR="00C04443" w:rsidRDefault="00C04443" w:rsidP="00C04443">
                                  <w:pPr>
                                    <w:pStyle w:val="afa"/>
                                    <w:bidi/>
                                    <w:spacing w:before="0" w:beforeAutospacing="0" w:after="0" w:afterAutospacing="0"/>
                                    <w:jc w:val="center"/>
                                  </w:pPr>
                                  <w:r>
                                    <w:rPr>
                                      <w:rFonts w:ascii="Arial" w:hAnsi="Arial" w:cs="Arial"/>
                                      <w:b/>
                                      <w:bCs/>
                                      <w:color w:val="000000"/>
                                      <w:sz w:val="18"/>
                                      <w:szCs w:val="18"/>
                                      <w:lang w:val="ru-RU"/>
                                    </w:rPr>
                                    <w:t>14</w:t>
                                  </w:r>
                                  <w:r>
                                    <w:rPr>
                                      <w:rFonts w:ascii="Arial" w:hAnsi="Arial" w:cs="Arial"/>
                                      <w:b/>
                                      <w:bCs/>
                                      <w:color w:val="000000"/>
                                      <w:sz w:val="18"/>
                                      <w:szCs w:val="18"/>
                                      <w:lang w:val="en-US"/>
                                    </w:rPr>
                                    <w:t>7</w:t>
                                  </w:r>
                                  <w:r>
                                    <w:rPr>
                                      <w:rFonts w:ascii="Arial" w:hAnsi="Arial" w:cs="Arial"/>
                                      <w:b/>
                                      <w:bCs/>
                                      <w:color w:val="000000"/>
                                      <w:sz w:val="18"/>
                                      <w:szCs w:val="18"/>
                                      <w:lang w:val="ru-RU"/>
                                    </w:rPr>
                                    <w:t>76,6 тис.грн.</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Выноска-облако 53" o:spid="_x0000_s1031" type="#_x0000_t106" style="position:absolute;margin-left:273.4pt;margin-top:-1.5pt;width:118.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" adj="991,23914">
                      <v:fill color2="#ccf" rotate="t" focus="100%" type="gradient"/>
                      <v:textbox inset="2.16pt,1.8pt,2.16pt,0">
                        <w:txbxContent>
                          <w:p w:rsidR="00C04443" w:rsidRDefault="00C04443" w:rsidP="00C04443">
                            <w:pPr>
                              <w:pStyle w:val="afa"/>
                              <w:bidi/>
                              <w:spacing w:before="0" w:beforeAutospacing="0" w:after="0" w:afterAutospacing="0"/>
                              <w:jc w:val="center"/>
                            </w:pPr>
                            <w:r>
                              <w:rPr>
                                <w:rFonts w:ascii="Arial" w:hAnsi="Arial" w:cs="Arial"/>
                                <w:b/>
                                <w:bCs/>
                                <w:color w:val="000000"/>
                                <w:sz w:val="18"/>
                                <w:szCs w:val="18"/>
                                <w:lang w:val="ru-RU"/>
                              </w:rPr>
                              <w:t>Всього</w:t>
                            </w:r>
                          </w:p>
                          <w:p w:rsidR="00C04443" w:rsidRDefault="00C04443" w:rsidP="00C04443">
                            <w:pPr>
                              <w:pStyle w:val="afa"/>
                              <w:bidi/>
                              <w:spacing w:before="0" w:beforeAutospacing="0" w:after="0" w:afterAutospacing="0"/>
                              <w:jc w:val="center"/>
                            </w:pPr>
                            <w:r>
                              <w:rPr>
                                <w:rFonts w:ascii="Arial" w:hAnsi="Arial" w:cs="Arial"/>
                                <w:b/>
                                <w:bCs/>
                                <w:color w:val="000000"/>
                                <w:sz w:val="18"/>
                                <w:szCs w:val="18"/>
                                <w:lang w:val="ru-RU"/>
                              </w:rPr>
                              <w:t>2015 рік</w:t>
                            </w:r>
                          </w:p>
                          <w:p w:rsidR="00C04443" w:rsidRDefault="00C04443" w:rsidP="00C04443">
                            <w:pPr>
                              <w:pStyle w:val="afa"/>
                              <w:bidi/>
                              <w:spacing w:before="0" w:beforeAutospacing="0" w:after="0" w:afterAutospacing="0"/>
                              <w:jc w:val="center"/>
                            </w:pPr>
                            <w:r>
                              <w:rPr>
                                <w:rFonts w:ascii="Arial" w:hAnsi="Arial" w:cs="Arial"/>
                                <w:b/>
                                <w:bCs/>
                                <w:color w:val="000000"/>
                                <w:sz w:val="18"/>
                                <w:szCs w:val="18"/>
                                <w:lang w:val="ru-RU"/>
                              </w:rPr>
                              <w:t>14</w:t>
                            </w:r>
                            <w:r>
                              <w:rPr>
                                <w:rFonts w:ascii="Arial" w:hAnsi="Arial" w:cs="Arial"/>
                                <w:b/>
                                <w:bCs/>
                                <w:color w:val="000000"/>
                                <w:sz w:val="18"/>
                                <w:szCs w:val="18"/>
                                <w:lang w:val="en-US"/>
                              </w:rPr>
                              <w:t>7</w:t>
                            </w:r>
                            <w:r>
                              <w:rPr>
                                <w:rFonts w:ascii="Arial" w:hAnsi="Arial" w:cs="Arial"/>
                                <w:b/>
                                <w:bCs/>
                                <w:color w:val="000000"/>
                                <w:sz w:val="18"/>
                                <w:szCs w:val="18"/>
                                <w:lang w:val="ru-RU"/>
                              </w:rPr>
                              <w:t>76,6 тис.грн.</w:t>
                            </w:r>
                          </w:p>
                        </w:txbxContent>
                      </v:textbox>
                    </v:shape>
                  </w:pict>
                </mc:Fallback>
              </mc:AlternateContent>
            </w: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r w:rsidR="00C04443" w:rsidRPr="00C04443" w:rsidTr="002F34D0">
        <w:trPr>
          <w:trHeight w:val="300"/>
        </w:trPr>
        <w:tc>
          <w:tcPr>
            <w:tcW w:w="10913"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125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rsidR="00C04443" w:rsidRPr="00C04443" w:rsidRDefault="00C04443" w:rsidP="00C04443">
            <w:pPr>
              <w:rPr>
                <w:rFonts w:ascii="Calibri" w:hAnsi="Calibri"/>
                <w:color w:val="000000"/>
                <w:sz w:val="22"/>
                <w:szCs w:val="22"/>
              </w:rPr>
            </w:pPr>
          </w:p>
        </w:tc>
      </w:tr>
    </w:tbl>
    <w:p w:rsidR="00C04443" w:rsidRPr="00C04443" w:rsidRDefault="00C04443" w:rsidP="00C04443">
      <w:pPr>
        <w:ind w:firstLine="540"/>
        <w:jc w:val="both"/>
      </w:pPr>
      <w:r w:rsidRPr="00C04443">
        <w:t>Протягом звітного періоду із загального фонду міського бюджету на утримання спортивних шкіл спрямовано 11647,8 тис.грн., або 78,8 відс. загального обсягу видатків на фізичну культуру і спорт; спортивних споруд – 2466,0 тис.грн. (16,7 відс.) та інших  – 662,8 тис.грн. (4,5 відс.).</w:t>
      </w:r>
    </w:p>
    <w:p w:rsidR="00C04443" w:rsidRPr="00C04443" w:rsidRDefault="00C04443" w:rsidP="00C04443">
      <w:pPr>
        <w:widowControl w:val="0"/>
        <w:ind w:firstLine="567"/>
        <w:jc w:val="both"/>
        <w:rPr>
          <w:rFonts w:eastAsia="MS Mincho"/>
        </w:rPr>
      </w:pPr>
      <w:r w:rsidRPr="00C04443">
        <w:rPr>
          <w:rFonts w:eastAsia="MS Mincho"/>
        </w:rPr>
        <w:t xml:space="preserve">Штатна чисельність працівників галузі станом на 01.01.2016 складає 368,35 одиниць, фактична чисельність становить 312,77 осіб, яка в порівнянні з відповідним періодом минулого року збільшилася на 30,44 штатних одиниць та 16,92 фактично зайнятих осіб, </w:t>
      </w:r>
      <w:r w:rsidRPr="00C04443">
        <w:t>що пов’язано з переводом в новому навчальному році вихованців спортивних шкіл з груп початкового рівня на вищий рівень навчання (групи спеціалізованої базової підготовки та вищого спортивного вдосконалення), збільшенням кількості вихованців на 228 осіб та відкриттям відділення плавання КДЮСШ №2.</w:t>
      </w:r>
    </w:p>
    <w:p w:rsidR="00C04443" w:rsidRPr="00C04443" w:rsidRDefault="00C04443" w:rsidP="00C04443">
      <w:pPr>
        <w:ind w:firstLine="567"/>
        <w:jc w:val="both"/>
        <w:rPr>
          <w:lang w:eastAsia="x-none"/>
        </w:rPr>
      </w:pPr>
      <w:r w:rsidRPr="00C04443">
        <w:rPr>
          <w:lang w:eastAsia="x-none"/>
        </w:rPr>
        <w:t xml:space="preserve">На оплату праці і нарахування на заробітну плату у 2015 році направлено 9432,8 тис.грн., або 99,9 відс. до уточнених річних призначень, що на 1633,0 тис.грн., або на 20,9 відс. більше, ніж у 2014 році, що пояснюється збільшенням кількості фактично зайнятих працівників </w:t>
      </w:r>
      <w:r w:rsidRPr="00C04443">
        <w:rPr>
          <w:bCs/>
          <w:iCs/>
          <w:lang w:eastAsia="x-none"/>
        </w:rPr>
        <w:t xml:space="preserve">на 16,92 од., проведенням індексації заробітної плати, підвищенням рівня мінімальної заробітної плати та першого тарифного розряду. </w:t>
      </w:r>
      <w:r w:rsidRPr="00C04443">
        <w:rPr>
          <w:lang w:eastAsia="x-none"/>
        </w:rPr>
        <w:t>Питома вага видатків на оплату праці і нарахування на заробітну плату в загальному обсязі видатків складає 63,8 відс.</w:t>
      </w:r>
    </w:p>
    <w:p w:rsidR="00C04443" w:rsidRPr="00C04443" w:rsidRDefault="00C04443" w:rsidP="00C04443">
      <w:pPr>
        <w:ind w:firstLine="567"/>
        <w:jc w:val="both"/>
        <w:rPr>
          <w:lang w:eastAsia="x-none"/>
        </w:rPr>
      </w:pPr>
      <w:r w:rsidRPr="00C04443">
        <w:rPr>
          <w:lang w:eastAsia="x-none"/>
        </w:rPr>
        <w:t xml:space="preserve">На придбання медикаментів та перев’язувальних матеріалів спрямовано </w:t>
      </w:r>
      <w:r w:rsidRPr="00C04443">
        <w:rPr>
          <w:lang w:val="ru-RU" w:eastAsia="x-none"/>
        </w:rPr>
        <w:t>10,7</w:t>
      </w:r>
      <w:r w:rsidRPr="00C04443">
        <w:rPr>
          <w:lang w:eastAsia="x-none"/>
        </w:rPr>
        <w:t xml:space="preserve"> тис.грн., або 98,2 відс. до уточнених річних призначень. Питома вага видатків на придбання медикаментів в загальному обсязі видатків складає 0,1 відс.</w:t>
      </w:r>
    </w:p>
    <w:p w:rsidR="00C04443" w:rsidRPr="00C04443" w:rsidRDefault="00C04443" w:rsidP="00C04443">
      <w:pPr>
        <w:ind w:firstLine="567"/>
        <w:jc w:val="both"/>
        <w:rPr>
          <w:lang w:eastAsia="x-none"/>
        </w:rPr>
      </w:pPr>
      <w:r w:rsidRPr="00C04443">
        <w:rPr>
          <w:lang w:eastAsia="x-none"/>
        </w:rPr>
        <w:t xml:space="preserve">На оплату харчування суддів та учасників змагань спрямовано </w:t>
      </w:r>
      <w:r w:rsidRPr="00C04443">
        <w:rPr>
          <w:lang w:val="ru-RU" w:eastAsia="x-none"/>
        </w:rPr>
        <w:t>256,2</w:t>
      </w:r>
      <w:r w:rsidRPr="00C04443">
        <w:rPr>
          <w:lang w:eastAsia="x-none"/>
        </w:rPr>
        <w:t xml:space="preserve"> тис.грн., що становить </w:t>
      </w:r>
      <w:r w:rsidRPr="00C04443">
        <w:rPr>
          <w:lang w:val="ru-RU" w:eastAsia="x-none"/>
        </w:rPr>
        <w:t>97,2</w:t>
      </w:r>
      <w:r w:rsidRPr="00C04443">
        <w:rPr>
          <w:lang w:eastAsia="x-none"/>
        </w:rPr>
        <w:t xml:space="preserve"> відс. до уточненого річного плану. В порівнянні з 2014 роком видатки збільшилися на 23,1 тис.грн., або на 9,9 відс</w:t>
      </w:r>
      <w:r w:rsidRPr="00C04443">
        <w:rPr>
          <w:lang w:val="ru-RU" w:eastAsia="x-none"/>
        </w:rPr>
        <w:t xml:space="preserve">. </w:t>
      </w:r>
      <w:r w:rsidRPr="00C04443">
        <w:rPr>
          <w:lang w:eastAsia="x-none"/>
        </w:rPr>
        <w:t>Питома вага видатків на оплату харчування в загальному обсязі видатків складає 1,7 відс.</w:t>
      </w:r>
    </w:p>
    <w:p w:rsidR="00C04443" w:rsidRPr="00C04443" w:rsidRDefault="00C04443" w:rsidP="00C04443">
      <w:pPr>
        <w:ind w:firstLine="567"/>
        <w:jc w:val="both"/>
        <w:rPr>
          <w:lang w:eastAsia="x-none"/>
        </w:rPr>
      </w:pPr>
      <w:r w:rsidRPr="00C04443">
        <w:rPr>
          <w:lang w:eastAsia="x-none"/>
        </w:rPr>
        <w:t xml:space="preserve">На оплату комунальних послуг та енергоносіїв спрямовано </w:t>
      </w:r>
      <w:r w:rsidRPr="00C04443">
        <w:rPr>
          <w:lang w:val="ru-RU" w:eastAsia="x-none"/>
        </w:rPr>
        <w:t>615,3</w:t>
      </w:r>
      <w:r w:rsidRPr="00C04443">
        <w:rPr>
          <w:lang w:eastAsia="x-none"/>
        </w:rPr>
        <w:t xml:space="preserve"> тис.грн.,  або 86,2 відс. до уточненого річного плану. В порівнянні з 2014 роком видатки збільшилися на 168,8 тис.грн., або на 37,8 відс. у зв’язку із підвищенням тарифів на теплопостачання (КП ТМ «Черкаситеплокомуненерго» - у 2,1 рази, ВП «Черкаська ТЕЦ» - на 13,0 відс.), на водопостачання та водовідведення - на 22,5 відс., на електроенергію - на 22,0 відс.  та введенням  з 1 вересня 2014 року тарифу із послуги централізованого постачання гарячої води (лише по КПТМ «Чераситеплокомуненерго»). Питома вага видатків на оплату комунальних послуг та енергоносіїв в загальному обсязі видатків складає 4,2 відс.</w:t>
      </w:r>
    </w:p>
    <w:p w:rsidR="00C04443" w:rsidRPr="00C04443" w:rsidRDefault="00C04443" w:rsidP="00C04443">
      <w:pPr>
        <w:ind w:firstLine="567"/>
        <w:jc w:val="both"/>
        <w:rPr>
          <w:lang w:eastAsia="x-none"/>
        </w:rPr>
      </w:pPr>
      <w:r w:rsidRPr="00C04443">
        <w:rPr>
          <w:lang w:eastAsia="x-none"/>
        </w:rPr>
        <w:t xml:space="preserve">На інші поточні видатки в 2015 році спрямовано 1995,6 тис.грн., або 79,7 відс. до уточнених річних  призначень, з них: на придбання предметів, матеріалів, обладнання та </w:t>
      </w:r>
      <w:r w:rsidRPr="00C04443">
        <w:rPr>
          <w:lang w:eastAsia="x-none"/>
        </w:rPr>
        <w:lastRenderedPageBreak/>
        <w:t>інвентарю – 353,2 тис.грн.; оплату послуг (крім комунальних) – 1363,5 тис.грн.; видатки на відрядження – 265,6 тис.грн.; окремі заходи по реалізації державних (регіональних) програм, не віднесені до заходів розвитку – 13,3 тис.грн. Зокрема, у складі інших поточних видатків враховані видатки на проведення заходів «Програми сприяння проведенню змагань національного та міжнародного рівня у м. Черкаси на 2015-2020 роки» у сумі 30,6 тис.грн. (на виготовлення та розміщення рекламних матеріалів  – 15,4 тис.грн., нагородження учасників пам’ятними призами – 0,5 тис.грн., транспортні послуги – 14,7 тис.грн.), або 20,7 відс. до уточненого річного плану. В порівнянні з 2014 роком видатки зросли на 714,1 тис.грн., або на 55,7 відс. Питома вага видатків за іншими поточними видатками в загальному обсязі складає 13,5 відс.</w:t>
      </w:r>
    </w:p>
    <w:p w:rsidR="00C04443" w:rsidRPr="00C04443" w:rsidRDefault="00C04443" w:rsidP="00C04443">
      <w:pPr>
        <w:ind w:firstLine="567"/>
        <w:jc w:val="both"/>
        <w:rPr>
          <w:lang w:eastAsia="x-none"/>
        </w:rPr>
      </w:pPr>
      <w:r w:rsidRPr="00C04443">
        <w:rPr>
          <w:lang w:eastAsia="x-none"/>
        </w:rPr>
        <w:t>Видатки на поточні трансферти підприємствам склали  2466,0 тис.грн., або 100,0 відс. до уточненого річного плану, у т.ч. по КП «Центральний стадіон» - 1284,8 тис.грн. (з них на оплату праці з нарахуваннями – 1153,7 тис.грн., на оплату комунальних послуг та енергоносіїв – 131,1 тис.грн.), по КП«СК «Будівельник» – 981,2 тис.грн. (з них на оплату праці з нарахуваннями – 879,7 тис.грн., на оплату комунальних послуг та енергоносіїв – 101,5 тис.грн.) та по ДЮСШ «Надія» - 200,0 тис.грн. (з них на оплату праці з нарахуваннями –  154,3 тис.грн., на оплату інших видатків (оренда басейну) 45,7 – тис.грн.). Питома вага в загальному обсязі видатків складає 16,7 відс.</w:t>
      </w:r>
    </w:p>
    <w:p w:rsidR="00C04443" w:rsidRPr="00C04443" w:rsidRDefault="00C04443" w:rsidP="00C04443">
      <w:pPr>
        <w:ind w:firstLine="567"/>
        <w:jc w:val="both"/>
        <w:rPr>
          <w:szCs w:val="22"/>
        </w:rPr>
      </w:pPr>
      <w:r w:rsidRPr="00C04443">
        <w:rPr>
          <w:szCs w:val="22"/>
        </w:rPr>
        <w:t xml:space="preserve">По спеціальному фонду касові видатки склали 1500,0 тис.грн., що становить 82,1 відс. від уточнених річних призначень, з них: </w:t>
      </w:r>
    </w:p>
    <w:p w:rsidR="00C04443" w:rsidRPr="00C04443" w:rsidRDefault="00C04443" w:rsidP="00C04443">
      <w:pPr>
        <w:ind w:firstLine="567"/>
        <w:jc w:val="both"/>
        <w:rPr>
          <w:szCs w:val="22"/>
        </w:rPr>
      </w:pPr>
      <w:r w:rsidRPr="00C04443">
        <w:rPr>
          <w:szCs w:val="22"/>
        </w:rPr>
        <w:t xml:space="preserve">1) за рахунок власних надходжень касові видатки склали 257,4 тис.грн., або 56,3 відс. до уточненого річного плану, в тому числі спрямовано: на комунальні послуги та енергоносії – 5,6 тис.грн., або 34,1 відс.; на продукти харчування – 15,9 тис.грн., або 75,7 відс.; на інші видатки – 221,4 тис.грн., або 57,4 відс.; на капітальні видатки – 14,5 тис.грн., або 42,0 відс.; </w:t>
      </w:r>
    </w:p>
    <w:p w:rsidR="00C04443" w:rsidRPr="00C04443" w:rsidRDefault="00C04443" w:rsidP="00C04443">
      <w:pPr>
        <w:ind w:firstLine="540"/>
        <w:jc w:val="both"/>
        <w:rPr>
          <w:szCs w:val="22"/>
        </w:rPr>
      </w:pPr>
      <w:r w:rsidRPr="00C04443">
        <w:rPr>
          <w:szCs w:val="22"/>
        </w:rPr>
        <w:t xml:space="preserve">2) </w:t>
      </w:r>
      <w:r w:rsidRPr="00C04443">
        <w:t xml:space="preserve">за рахунок бюджету розвитку касові видатки склали 1242,6 тис.грн., або 90,7 відс. до уточнених річних призначень (видатки спрямовані на придбання обладнання і предметів довгострокового користування – 552,1 тис.грн., або 99,2 відс. до уточнених річних призначень,  капітальний ремонт  – 690,5 тис.грн., або 84,8 відс. до уточнених річних призначень). </w:t>
      </w:r>
      <w:r w:rsidRPr="00C04443">
        <w:rPr>
          <w:szCs w:val="22"/>
        </w:rPr>
        <w:t xml:space="preserve">   </w:t>
      </w:r>
    </w:p>
    <w:p w:rsidR="00C04443" w:rsidRPr="00C04443" w:rsidRDefault="00C04443" w:rsidP="00C04443">
      <w:pPr>
        <w:ind w:firstLine="540"/>
        <w:jc w:val="both"/>
      </w:pPr>
      <w:r w:rsidRPr="00C04443">
        <w:t>Станом на 01.01.2016 року по загальному та спеціальному фондах кредиторська та дебіторська заборгованості відсутні.</w:t>
      </w:r>
    </w:p>
    <w:p w:rsidR="00C04443" w:rsidRPr="00C04443" w:rsidRDefault="00C04443" w:rsidP="00C04443">
      <w:pPr>
        <w:ind w:firstLine="540"/>
        <w:jc w:val="both"/>
      </w:pPr>
    </w:p>
    <w:p w:rsidR="00C04443" w:rsidRPr="00C04443" w:rsidRDefault="00C04443" w:rsidP="00C04443">
      <w:pPr>
        <w:ind w:firstLine="540"/>
        <w:jc w:val="both"/>
      </w:pPr>
      <w:r w:rsidRPr="00C04443">
        <w:t xml:space="preserve"> </w:t>
      </w:r>
    </w:p>
    <w:p w:rsidR="00C04443" w:rsidRPr="00C04443" w:rsidRDefault="00C04443" w:rsidP="00C04443">
      <w:pPr>
        <w:jc w:val="center"/>
        <w:rPr>
          <w:b/>
          <w:i/>
          <w:u w:val="single"/>
        </w:rPr>
      </w:pPr>
      <w:r w:rsidRPr="00C04443">
        <w:rPr>
          <w:b/>
          <w:i/>
          <w:u w:val="single"/>
        </w:rPr>
        <w:t>БЮДЖЕТ РОЗВИТКУ</w:t>
      </w:r>
    </w:p>
    <w:p w:rsidR="00C04443" w:rsidRPr="00C04443" w:rsidRDefault="00C04443" w:rsidP="00C04443">
      <w:pPr>
        <w:ind w:firstLine="567"/>
        <w:jc w:val="both"/>
      </w:pPr>
      <w:r w:rsidRPr="00C04443">
        <w:t>За 2015 рік до бюджету розвитку надійшло 123090,9 тис.грн. при річному плані 131594,0 тис.грн., або 93,5 відс. до річного плану, в тому числі за рахунок коштів: від відчуження майна – 619,1 тис.грн.; від продажу землі – 8374,2 тис.грн.; від надходження коштів пайової участі у розвиток інфраструктури населеного пункту – 2315,9 тис.грн.; кошти, що передаються із загального фонду бюджету до бюджету розвитку (спеціального фонду) – 110689,0 тис.грн.; субвенції з обласного бюджету на соціально-економічний розвиток регіонів (з урахуванням погашення кредиторської заборгованості) – 1067,7 тис.грн.; субвенції на підвищення ефективності та функціонування центрів надання адміністративних послуг шляхом покращення її матеріально-технічного забезпечення (на умовах співфінансування з іншими місцевими бюджетами) у рамках виконання програми економічного і соціального розвитку Черкаської області на 2015 рік – 25,0 тис.грн.</w:t>
      </w:r>
    </w:p>
    <w:p w:rsidR="00C04443" w:rsidRPr="00C04443" w:rsidRDefault="00C04443" w:rsidP="00C04443">
      <w:pPr>
        <w:ind w:firstLine="567"/>
        <w:jc w:val="both"/>
      </w:pPr>
      <w:r w:rsidRPr="00C04443">
        <w:t xml:space="preserve">За 2015 рік на видатки бюджету розвитку спрямовано 188259,0 тис.грн., або 78,0 відс. до річного плану, з них: на об’єкти будівництва – 16263,2 тис.грн.; на капітальний ремонт автомобільних доріг – 28983,3 тис.грн.; на житлово-комунальне господарство – 14411,2 тис.грн.; на природоохоронні заходи – 3066,4 тис.грн.; на внески в статутні капітали комунальних підприємств міста – 16755,7 тис.грн.; на заходи у сфері електротранспорту – 32040,0 тис.грн.; на капітальні видатки бюджетних установ соціально-культурної сфери – 76739,2 тис.грн. (в т.ч.: на галузь «Освіта» – 42051,1 тис.грн.; на галузь «Охорона здоров’я» – 18790,3 тис.грн.; по органах місцевого самоврядування – 3954,4 тис.грн.; на соціальний захист та соціальне забезпечення – 1625,9 тис.грн.; на галузь «Культура і мистецтво» – </w:t>
      </w:r>
      <w:r w:rsidRPr="00C04443">
        <w:lastRenderedPageBreak/>
        <w:t>2901,2 тис.грн.; на галузь «Ф</w:t>
      </w:r>
      <w:r w:rsidRPr="00C04443">
        <w:rPr>
          <w:bCs/>
          <w:iCs/>
        </w:rPr>
        <w:t>ізична культура і спорт» – 1242,6 тис.грн.;</w:t>
      </w:r>
      <w:r w:rsidRPr="00C04443">
        <w:t xml:space="preserve"> інші видатки – 6173,7 тис.грн.). Використання коштів бюджету розвитку за 2016 рік в розрізі об’єктів додається (додаток 1 до інформації про використання коштів міського бюджету (пояснюючої до звіту про виконання міського бюджету м.Черкаси за 2016 рік)).</w:t>
      </w:r>
    </w:p>
    <w:p w:rsidR="00C04443" w:rsidRPr="00C04443" w:rsidRDefault="00C04443" w:rsidP="00C04443">
      <w:pPr>
        <w:ind w:firstLine="567"/>
        <w:jc w:val="both"/>
        <w:rPr>
          <w:lang w:val="ru-RU"/>
        </w:rPr>
      </w:pPr>
      <w:r w:rsidRPr="00C04443">
        <w:t>Залишок коштів бюджету розвитку на 01.01.2016 року складає 58544,6 тис.грн</w:t>
      </w:r>
      <w:r w:rsidRPr="00C04443">
        <w:rPr>
          <w:lang w:val="ru-RU"/>
        </w:rPr>
        <w:t xml:space="preserve">. </w:t>
      </w:r>
    </w:p>
    <w:p w:rsidR="00C04443" w:rsidRPr="00C04443" w:rsidRDefault="00C04443" w:rsidP="00C04443">
      <w:pPr>
        <w:rPr>
          <w:sz w:val="22"/>
          <w:lang w:val="ru-RU"/>
        </w:rPr>
      </w:pPr>
    </w:p>
    <w:p w:rsidR="00C04443" w:rsidRPr="00C04443" w:rsidRDefault="00C04443" w:rsidP="00C04443">
      <w:pPr>
        <w:keepNext/>
        <w:jc w:val="center"/>
        <w:outlineLvl w:val="4"/>
        <w:rPr>
          <w:b/>
          <w:bCs/>
          <w:i/>
          <w:iCs/>
          <w:u w:val="single"/>
        </w:rPr>
      </w:pPr>
      <w:r w:rsidRPr="00C04443">
        <w:rPr>
          <w:b/>
          <w:bCs/>
          <w:i/>
          <w:iCs/>
          <w:u w:val="single"/>
        </w:rPr>
        <w:t>КТКВК 150000 Будівництво</w:t>
      </w:r>
    </w:p>
    <w:p w:rsidR="00C04443" w:rsidRPr="00C04443" w:rsidRDefault="00C04443" w:rsidP="00C04443">
      <w:pPr>
        <w:widowControl w:val="0"/>
        <w:spacing w:before="60"/>
        <w:ind w:firstLine="539"/>
        <w:jc w:val="both"/>
        <w:rPr>
          <w:lang w:eastAsia="x-none"/>
        </w:rPr>
      </w:pPr>
      <w:r w:rsidRPr="00C04443">
        <w:rPr>
          <w:bCs/>
          <w:lang w:eastAsia="x-none"/>
        </w:rPr>
        <w:t>По спеціальному фонду (</w:t>
      </w:r>
      <w:r w:rsidRPr="00C04443">
        <w:rPr>
          <w:lang w:eastAsia="x-none"/>
        </w:rPr>
        <w:t>бюджету розвитку) уточнений план видатків на 2016 рік склав 25556,5 тис.грн., касові видатки – 16263,2 тис.грн., або 63,6 відс. до плану до річного плану, у тому числі:</w:t>
      </w:r>
    </w:p>
    <w:p w:rsidR="00C04443" w:rsidRPr="00C04443" w:rsidRDefault="00C04443" w:rsidP="00C04443">
      <w:pPr>
        <w:widowControl w:val="0"/>
        <w:ind w:firstLine="550"/>
        <w:jc w:val="both"/>
        <w:rPr>
          <w:lang w:eastAsia="x-none"/>
        </w:rPr>
      </w:pPr>
      <w:r w:rsidRPr="00C04443">
        <w:rPr>
          <w:lang w:eastAsia="x-none"/>
        </w:rPr>
        <w:t>- на капітальні вкладення (КТКВК 150101) передбачені видатки в сумі 15233,0 тис.грн. Касові видатки склали 11696,4 тис.грн., або 76,8 відс. до річного плану;</w:t>
      </w:r>
    </w:p>
    <w:p w:rsidR="00C04443" w:rsidRPr="00C04443" w:rsidRDefault="00C04443" w:rsidP="00C04443">
      <w:pPr>
        <w:widowControl w:val="0"/>
        <w:ind w:firstLine="550"/>
        <w:jc w:val="both"/>
        <w:rPr>
          <w:lang w:eastAsia="x-none"/>
        </w:rPr>
      </w:pPr>
      <w:r w:rsidRPr="00C04443">
        <w:rPr>
          <w:lang w:eastAsia="x-none"/>
        </w:rPr>
        <w:t>- на проведення невідкладних відновлювальних робіт, будівництво та реконструкцію загальноосвітніх навчальних закладів (КТКВК 150110) передбачено 7718,4 тис.грн., касові видатки склали 2053,5 тис.грн., або 26,6 відс. до річного плану;</w:t>
      </w:r>
    </w:p>
    <w:p w:rsidR="00C04443" w:rsidRPr="00C04443" w:rsidRDefault="00C04443" w:rsidP="00C04443">
      <w:pPr>
        <w:widowControl w:val="0"/>
        <w:ind w:firstLine="550"/>
        <w:jc w:val="both"/>
        <w:rPr>
          <w:lang w:eastAsia="x-none"/>
        </w:rPr>
      </w:pPr>
      <w:r w:rsidRPr="00C04443">
        <w:rPr>
          <w:lang w:eastAsia="x-none"/>
        </w:rPr>
        <w:t>- на проведення невідкладних відновлювальних робіт, будівництво та реконструкцію позашкільних навчальних закладів (КТКВК 150112) передбачено 418,6 тис.грн., касові видатки склали 341,7 тис.грн., або 81,6 відс. до річного плану;</w:t>
      </w:r>
    </w:p>
    <w:p w:rsidR="00C04443" w:rsidRPr="00C04443" w:rsidRDefault="00C04443" w:rsidP="00C04443">
      <w:pPr>
        <w:widowControl w:val="0"/>
        <w:ind w:firstLine="550"/>
        <w:jc w:val="both"/>
        <w:rPr>
          <w:lang w:eastAsia="x-none"/>
        </w:rPr>
      </w:pPr>
      <w:r w:rsidRPr="00C04443">
        <w:rPr>
          <w:lang w:eastAsia="x-none"/>
        </w:rPr>
        <w:t>- на проведення невідкладних відновлювальних робіт, будівництво та реконструкцію лікарень загального профілю (КТКВК 150114)</w:t>
      </w:r>
      <w:r w:rsidRPr="00C04443">
        <w:rPr>
          <w:b/>
          <w:lang w:eastAsia="x-none"/>
        </w:rPr>
        <w:t xml:space="preserve"> </w:t>
      </w:r>
      <w:r w:rsidRPr="00C04443">
        <w:rPr>
          <w:lang w:eastAsia="x-none"/>
        </w:rPr>
        <w:t>передбачено</w:t>
      </w:r>
      <w:r w:rsidRPr="00C04443">
        <w:rPr>
          <w:bCs/>
          <w:lang w:eastAsia="x-none"/>
        </w:rPr>
        <w:t xml:space="preserve"> 2186,5 тис.грн.,</w:t>
      </w:r>
      <w:r w:rsidRPr="00C04443">
        <w:rPr>
          <w:lang w:eastAsia="x-none"/>
        </w:rPr>
        <w:t xml:space="preserve"> касові видатки склали 2171,6 тис.грн., або 99,3 відс. до річного плану.</w:t>
      </w:r>
    </w:p>
    <w:p w:rsidR="00C04443" w:rsidRPr="00C04443" w:rsidRDefault="00C04443" w:rsidP="00C04443">
      <w:pPr>
        <w:ind w:firstLine="539"/>
        <w:jc w:val="both"/>
      </w:pPr>
      <w:r w:rsidRPr="00C04443">
        <w:t xml:space="preserve">Станом на 01.01.2016 по спеціальному фонду бюджету розвитку рахується дебіторська заборгованість в сумі 3910,6 тис.грн. (прострочена), як невідпрацьовані аванси: </w:t>
      </w:r>
    </w:p>
    <w:p w:rsidR="00C04443" w:rsidRPr="00C04443" w:rsidRDefault="00C04443" w:rsidP="00C04443">
      <w:pPr>
        <w:ind w:firstLine="539"/>
        <w:jc w:val="both"/>
      </w:pPr>
      <w:r w:rsidRPr="00C04443">
        <w:t xml:space="preserve">- по об'єкту «Будівництво міського кладовища в районі вул. Промислової та станції Заводської (І черга)» - 535,0 тис.грн. (Господарським судом Черкаської області винесено постанову №925/1342/14 від 05.01.2015 року щодо визнання ПВП ЧШРБУ банкрутом та відкрито ліквідаційну процедуру); </w:t>
      </w:r>
    </w:p>
    <w:p w:rsidR="00C04443" w:rsidRPr="00C04443" w:rsidRDefault="00C04443" w:rsidP="00C04443">
      <w:pPr>
        <w:ind w:firstLine="539"/>
        <w:jc w:val="both"/>
      </w:pPr>
      <w:r w:rsidRPr="00C04443">
        <w:t>- по об'єкту «Реконструкція вул. Одеської від вул. Котовського до вул. Сумгаїтська» - 3000,0 тис.грн. (Господарським судом Черкаської області винесено постанову №925/1342/14 від 05.01.2015 року щодо визнання ПВП ЧШРБУ банкрутом та відкрито ліквідаційну процедуру);</w:t>
      </w:r>
    </w:p>
    <w:p w:rsidR="00C04443" w:rsidRPr="00C04443" w:rsidRDefault="00C04443" w:rsidP="00C04443">
      <w:pPr>
        <w:ind w:firstLine="539"/>
        <w:jc w:val="both"/>
      </w:pPr>
      <w:r w:rsidRPr="00C04443">
        <w:t>- по об'єкту «Реконструкція східців по cпуску між будинками №13-№19 по вул. Героїв Сталінграду (з ПКД)» - 8,7 тис.грн. (департаментом архітектури, містобудування та інспектування була направлена претензія, щодо повернення невикористаної суми авансу та сплати неустойки за несвоєчасне використання авансу передбаченої умовами договору. Відповіді від ТОВ «Ай Джи Пі Україна» не отримано. Департаментом архітектури, містобудування та інспектування готуються матеріали для позову до суду);</w:t>
      </w:r>
    </w:p>
    <w:p w:rsidR="00C04443" w:rsidRPr="00C04443" w:rsidRDefault="00C04443" w:rsidP="00C04443">
      <w:pPr>
        <w:ind w:firstLine="539"/>
        <w:jc w:val="both"/>
      </w:pPr>
      <w:r w:rsidRPr="00C04443">
        <w:t xml:space="preserve">- по об'єкту «Реконструкція приміщень спортивного залу Черкаської спеціалізованої школи І-ІІІ ступенів № 3 ЧМР по вул. Байди Вишневецького, </w:t>
      </w:r>
      <w:smartTag w:uri="urn:schemas-microsoft-com:office:smarttags" w:element="metricconverter">
        <w:smartTagPr>
          <w:attr w:name="ProductID" w:val="58 м"/>
        </w:smartTagPr>
        <w:r w:rsidRPr="00C04443">
          <w:t>58 м</w:t>
        </w:r>
      </w:smartTag>
      <w:r w:rsidRPr="00C04443">
        <w:t>. Черкаси» - 366,9 тис.грн. (Ухвалою Київського апеляційного господарського суду від 29.09.2015 року призначено у справі судову будівельно-технічну експертизу, яка на даний час триває).</w:t>
      </w:r>
    </w:p>
    <w:p w:rsidR="00C04443" w:rsidRPr="00C04443" w:rsidRDefault="00C04443" w:rsidP="00C04443">
      <w:pPr>
        <w:ind w:firstLine="540"/>
        <w:jc w:val="both"/>
        <w:rPr>
          <w:lang w:val="ru-RU"/>
        </w:rPr>
      </w:pPr>
      <w:r w:rsidRPr="00C04443">
        <w:t xml:space="preserve">Станом на 01.01.2016 по спеціальному фонду (бюджету розвитку) </w:t>
      </w:r>
      <w:r w:rsidRPr="00C04443">
        <w:rPr>
          <w:bCs/>
        </w:rPr>
        <w:t xml:space="preserve">рахується кредиторська заборгованість в сумі 33,0 тис.грн., яка виникла через </w:t>
      </w:r>
      <w:r w:rsidRPr="00C04443">
        <w:t>не проведення платежів УДКСУ у м.Черкасах Черкаської області в зв’</w:t>
      </w:r>
      <w:r w:rsidRPr="00C04443">
        <w:rPr>
          <w:lang w:val="ru-RU"/>
        </w:rPr>
        <w:t>язку з</w:t>
      </w:r>
      <w:r w:rsidRPr="00C04443">
        <w:rPr>
          <w:bCs/>
        </w:rPr>
        <w:t xml:space="preserve"> технічною помилкою в реквізитах платіжних документів</w:t>
      </w:r>
      <w:r w:rsidRPr="00C04443">
        <w:t>.</w:t>
      </w:r>
    </w:p>
    <w:p w:rsidR="00C04443" w:rsidRPr="00C04443" w:rsidRDefault="00C04443" w:rsidP="00C04443">
      <w:pPr>
        <w:ind w:firstLine="540"/>
        <w:jc w:val="both"/>
        <w:rPr>
          <w:lang w:val="ru-RU"/>
        </w:rPr>
      </w:pPr>
    </w:p>
    <w:p w:rsidR="00C04443" w:rsidRPr="00C04443" w:rsidRDefault="00C04443" w:rsidP="00C04443">
      <w:pPr>
        <w:keepNext/>
        <w:ind w:firstLine="601"/>
        <w:jc w:val="center"/>
        <w:outlineLvl w:val="4"/>
        <w:rPr>
          <w:b/>
          <w:bCs/>
          <w:i/>
          <w:iCs/>
          <w:u w:val="single"/>
        </w:rPr>
      </w:pPr>
      <w:r w:rsidRPr="00C04443">
        <w:rPr>
          <w:b/>
          <w:bCs/>
          <w:i/>
          <w:iCs/>
          <w:u w:val="single"/>
        </w:rPr>
        <w:t xml:space="preserve">КТКВК 170000 Транспорт, дорожнє господарство, зв’язок, </w:t>
      </w:r>
    </w:p>
    <w:p w:rsidR="00C04443" w:rsidRPr="00C04443" w:rsidRDefault="00C04443" w:rsidP="00C04443">
      <w:pPr>
        <w:keepNext/>
        <w:ind w:firstLine="601"/>
        <w:jc w:val="center"/>
        <w:outlineLvl w:val="4"/>
        <w:rPr>
          <w:b/>
          <w:bCs/>
          <w:i/>
          <w:iCs/>
          <w:u w:val="single"/>
        </w:rPr>
      </w:pPr>
      <w:r w:rsidRPr="00C04443">
        <w:rPr>
          <w:b/>
          <w:bCs/>
          <w:i/>
          <w:iCs/>
          <w:u w:val="single"/>
        </w:rPr>
        <w:t xml:space="preserve">телекомунікації та інформатика </w:t>
      </w:r>
    </w:p>
    <w:p w:rsidR="00C04443" w:rsidRPr="00C04443" w:rsidRDefault="00C04443" w:rsidP="00C04443">
      <w:pPr>
        <w:ind w:firstLine="539"/>
        <w:jc w:val="both"/>
        <w:rPr>
          <w:bCs/>
        </w:rPr>
      </w:pPr>
      <w:r w:rsidRPr="00C04443">
        <w:rPr>
          <w:bCs/>
        </w:rPr>
        <w:t>По загальному фонду міського бюджету на 2015 рік передбачені видатки на компенсаційні виплати за пільгове перевезення окремих категорій громадян у сумі 19820,1 тис.грн., касові видатки склали 17416,7 тис.грн., в тому числі:</w:t>
      </w:r>
    </w:p>
    <w:p w:rsidR="00C04443" w:rsidRPr="00C04443" w:rsidRDefault="00C04443" w:rsidP="00C04443">
      <w:pPr>
        <w:ind w:firstLine="539"/>
        <w:jc w:val="both"/>
        <w:rPr>
          <w:bCs/>
        </w:rPr>
      </w:pPr>
      <w:r w:rsidRPr="00C04443">
        <w:rPr>
          <w:bCs/>
        </w:rPr>
        <w:t>1. За рахунок субвенцій з державного бюджету передбачено 17093,1 тис.грн., касові видатки склали 14689,7  тис.грн., або 85,9  відс. до річного плану, а саме:</w:t>
      </w:r>
    </w:p>
    <w:p w:rsidR="00C04443" w:rsidRPr="00C04443" w:rsidRDefault="00C04443" w:rsidP="00C04443">
      <w:pPr>
        <w:ind w:firstLine="567"/>
        <w:jc w:val="both"/>
        <w:rPr>
          <w:bCs/>
        </w:rPr>
      </w:pPr>
      <w:r w:rsidRPr="00C04443">
        <w:rPr>
          <w:bCs/>
        </w:rPr>
        <w:lastRenderedPageBreak/>
        <w:t>- по компенсаційних виплатах за пільговий проїзд залізничним транспортом окремим категоріям громадян (КТКВК 170302) передбачено 600,0 тис.грн., касові видатки склали 550,0 тис.грн., або 91,7 відс. до річного плану;</w:t>
      </w:r>
    </w:p>
    <w:p w:rsidR="00C04443" w:rsidRPr="00C04443" w:rsidRDefault="00C04443" w:rsidP="00C04443">
      <w:pPr>
        <w:ind w:firstLine="540"/>
        <w:jc w:val="both"/>
        <w:rPr>
          <w:bCs/>
        </w:rPr>
      </w:pPr>
      <w:r w:rsidRPr="00C04443">
        <w:rPr>
          <w:bCs/>
        </w:rPr>
        <w:t>- по компенсаційних виплатах за пільговий проїзд електротранспортом окремим категоріям громадян (КТКВК 170602) при річному плані 16493,1 тис.грн., касові видатки склали 14139,7 тис.грн., або 85,7 відс. до річного плану.</w:t>
      </w:r>
    </w:p>
    <w:p w:rsidR="00C04443" w:rsidRPr="00C04443" w:rsidRDefault="00C04443" w:rsidP="00C04443">
      <w:pPr>
        <w:ind w:firstLine="539"/>
        <w:jc w:val="both"/>
        <w:rPr>
          <w:bCs/>
        </w:rPr>
      </w:pPr>
      <w:r w:rsidRPr="00C04443">
        <w:rPr>
          <w:bCs/>
        </w:rPr>
        <w:t>2. За рахунок коштів міського бюджету передбачено 2727,0 тис.грн., касові видатки склали 100,0 відс. до річного плану, а саме:</w:t>
      </w:r>
    </w:p>
    <w:p w:rsidR="00C04443" w:rsidRPr="00C04443" w:rsidRDefault="00C04443" w:rsidP="00C04443">
      <w:pPr>
        <w:ind w:firstLine="567"/>
        <w:jc w:val="both"/>
        <w:rPr>
          <w:bCs/>
        </w:rPr>
      </w:pPr>
      <w:r w:rsidRPr="00C04443">
        <w:rPr>
          <w:bCs/>
        </w:rPr>
        <w:t>- по компенсаційних виплатах за пільговий проїзд автотранспортом окремим категоріям громадян (КТКВК 170102) передбачено 927,0 тис.грн., касові видатки склали 100,0 відсотків до річного плану;</w:t>
      </w:r>
    </w:p>
    <w:p w:rsidR="00C04443" w:rsidRPr="00C04443" w:rsidRDefault="00C04443" w:rsidP="00C04443">
      <w:pPr>
        <w:ind w:firstLine="540"/>
        <w:jc w:val="both"/>
        <w:rPr>
          <w:bCs/>
        </w:rPr>
      </w:pPr>
      <w:r w:rsidRPr="00C04443">
        <w:rPr>
          <w:bCs/>
        </w:rPr>
        <w:t>- по компенсаційних виплатах за пільговий проїзд електротранспортом окремим категоріям громадян (КТКВК 170602) при річному плані 1800,0 тис.грн., касові видатки склали 100,0 відсотків до річного плану.</w:t>
      </w:r>
    </w:p>
    <w:p w:rsidR="00C04443" w:rsidRPr="00C04443" w:rsidRDefault="00C04443" w:rsidP="00C04443">
      <w:pPr>
        <w:ind w:firstLine="540"/>
        <w:jc w:val="both"/>
        <w:rPr>
          <w:bCs/>
        </w:rPr>
      </w:pPr>
      <w:r w:rsidRPr="00C04443">
        <w:rPr>
          <w:bCs/>
        </w:rPr>
        <w:t xml:space="preserve">Станом на 01.01.2016 року </w:t>
      </w:r>
      <w:r w:rsidRPr="00C04443">
        <w:t>по компенсаційних виплатах за пільговий проїзд окремим категоріям громадян електротранспортом</w:t>
      </w:r>
      <w:r w:rsidRPr="00C04443">
        <w:rPr>
          <w:bCs/>
        </w:rPr>
        <w:t xml:space="preserve"> рахується кредиторська заборгованість в сумі 2353,4 тис.грн., в зв’язку з недофінансуванням субвенції з державного бюджету.</w:t>
      </w:r>
    </w:p>
    <w:p w:rsidR="00C04443" w:rsidRPr="00C04443" w:rsidRDefault="00C04443" w:rsidP="00C04443">
      <w:pPr>
        <w:ind w:firstLine="567"/>
        <w:jc w:val="both"/>
      </w:pPr>
      <w:r w:rsidRPr="00C04443">
        <w:t xml:space="preserve">Крім того, по </w:t>
      </w:r>
      <w:r w:rsidRPr="00C04443">
        <w:rPr>
          <w:b/>
        </w:rPr>
        <w:t>Програмі розвитку міського електротранспорту в м. Черкаси на 2009-2015 роки</w:t>
      </w:r>
      <w:r w:rsidRPr="00C04443">
        <w:t xml:space="preserve"> передбачені видатки в сумі 3047,0 тис.грн., в тому числі за рахунок субвенції з обласного бюджету – 103,3 тис.грн.  Касові видатки  склали 100,0  відс. до річного плану. Кошти використано на: </w:t>
      </w:r>
    </w:p>
    <w:p w:rsidR="00C04443" w:rsidRPr="00C04443" w:rsidRDefault="00C04443" w:rsidP="00C04443">
      <w:pPr>
        <w:jc w:val="both"/>
      </w:pPr>
      <w:r w:rsidRPr="00C04443">
        <w:t xml:space="preserve">          - компенсацію втрат доходів від регулювання тарифів на перевезення студентів та учнів – 105,9 тис.грн.;</w:t>
      </w:r>
    </w:p>
    <w:p w:rsidR="00C04443" w:rsidRPr="00C04443" w:rsidRDefault="00C04443" w:rsidP="00C04443">
      <w:pPr>
        <w:ind w:firstLine="540"/>
        <w:jc w:val="both"/>
      </w:pPr>
      <w:r w:rsidRPr="00C04443">
        <w:t xml:space="preserve"> -  придбання шин – 1159,7 тис.грн.;</w:t>
      </w:r>
    </w:p>
    <w:p w:rsidR="00C04443" w:rsidRPr="00C04443" w:rsidRDefault="00C04443" w:rsidP="00C04443">
      <w:pPr>
        <w:ind w:firstLine="540"/>
        <w:jc w:val="both"/>
      </w:pPr>
      <w:r w:rsidRPr="00C04443">
        <w:t xml:space="preserve"> - погашення заборгованості зі сплати соціального внеску на виконання договору реструктуризації боргів перед Пенсійним фондом України – 1781,4 тис.грн. (у т.ч. 400,8 тис.грн. на погашення заборгованості по податку з доходів фізичних осіб).</w:t>
      </w:r>
    </w:p>
    <w:p w:rsidR="00C04443" w:rsidRPr="00C04443" w:rsidRDefault="00C04443" w:rsidP="00C04443">
      <w:pPr>
        <w:ind w:firstLine="540"/>
        <w:jc w:val="both"/>
      </w:pPr>
      <w:r w:rsidRPr="00C04443">
        <w:t xml:space="preserve">Станом на 01.01.2016 року по Програмі розвитку міського електротранспорту в             м. Черкаси на 2009-2015 роки дебіторська та кредиторська заборгованості відсутні. </w:t>
      </w:r>
    </w:p>
    <w:p w:rsidR="00C04443" w:rsidRPr="00C04443" w:rsidRDefault="00C04443" w:rsidP="00C04443">
      <w:pPr>
        <w:ind w:firstLine="540"/>
        <w:jc w:val="both"/>
      </w:pPr>
      <w:r w:rsidRPr="00C04443">
        <w:t>В міському бюджеті на 2015 рік передбачені видатки на проведення робіт, пов’язаних з будівництвом, реконструкцією, ремонтом і утриманням автомобільних доріг (КТКВК 170703) в сумі 76397,0 тис.грн., касові видатки склали 42228,8 тис.грн., або 55,3  відс. до річного плану, в т.ч.:</w:t>
      </w:r>
    </w:p>
    <w:p w:rsidR="00C04443" w:rsidRPr="00C04443" w:rsidRDefault="00C04443" w:rsidP="00C04443">
      <w:pPr>
        <w:ind w:firstLine="539"/>
        <w:jc w:val="both"/>
      </w:pPr>
      <w:r w:rsidRPr="00C04443">
        <w:t>1) за рахунок загального фонду міського бюджету в сумі 14950,0 тис.грн. по головному розпоряднику коштів – департамент житлово-комунального комплексу, касові видатки склали 9598,6 тис.грн., або 64,2 відс. до річного плану;</w:t>
      </w:r>
    </w:p>
    <w:p w:rsidR="00C04443" w:rsidRPr="00C04443" w:rsidRDefault="00C04443" w:rsidP="00C04443">
      <w:pPr>
        <w:ind w:firstLine="539"/>
        <w:jc w:val="both"/>
      </w:pPr>
      <w:r w:rsidRPr="00C04443">
        <w:t>2) за рахунок залишку коштів спеціального фонду міського бюджету (дорожнього фонду), що утворився станом на 01.01.2015 (головний розпорядник коштів – департамент житлово-комунального комплексу ЧМР) передбачені видатки в сумі 3677,2 тис.грн., касові видатки склали 3646,9 тис.грн., або 99,2 відс. до річного плану, в т.ч.:</w:t>
      </w:r>
    </w:p>
    <w:p w:rsidR="00C04443" w:rsidRPr="00C04443" w:rsidRDefault="00C04443" w:rsidP="00C04443">
      <w:pPr>
        <w:ind w:firstLine="550"/>
        <w:jc w:val="both"/>
      </w:pPr>
      <w:r w:rsidRPr="00C04443">
        <w:t>-  на поточний ремонт доріг передбачено 1811,5 тис.грн., касові видатки склали 100,0 відс. до річного плану;</w:t>
      </w:r>
    </w:p>
    <w:p w:rsidR="00C04443" w:rsidRPr="00C04443" w:rsidRDefault="00C04443" w:rsidP="00C04443">
      <w:pPr>
        <w:ind w:firstLine="550"/>
        <w:jc w:val="both"/>
      </w:pPr>
      <w:r w:rsidRPr="00C04443">
        <w:t>- на капітальний ремонт доріг передбачено 1865,7 тис.грн., касові видатки склали 1835,3 тис.грн., або 98,4 відс. до річного плану;</w:t>
      </w:r>
    </w:p>
    <w:p w:rsidR="00C04443" w:rsidRPr="00C04443" w:rsidRDefault="00C04443" w:rsidP="00C04443">
      <w:pPr>
        <w:ind w:firstLine="540"/>
        <w:jc w:val="both"/>
      </w:pPr>
      <w:r w:rsidRPr="00C04443">
        <w:t>3) за рахунок коштів спеціального фонду (бюджету розвитку) передбачені видатки у сумі 57769,8 тис.грн., касові видатки склали 28983,3 тис.грн., або 50,2  відс. до річного плану, в т.ч.:</w:t>
      </w:r>
    </w:p>
    <w:p w:rsidR="00C04443" w:rsidRPr="00C04443" w:rsidRDefault="00C04443" w:rsidP="00C04443">
      <w:pPr>
        <w:ind w:firstLine="540"/>
        <w:jc w:val="both"/>
      </w:pPr>
      <w:r w:rsidRPr="00C04443">
        <w:t>- по головному розпоряднику коштів - департаменту архітектури, містобудування та інспектування – 35722,5 тис.грн., касові видатки склали 13555,2 тис.грн., або  37,9 відс. до річних призначень;</w:t>
      </w:r>
    </w:p>
    <w:p w:rsidR="00C04443" w:rsidRPr="00C04443" w:rsidRDefault="00C04443" w:rsidP="00C04443">
      <w:pPr>
        <w:ind w:firstLine="540"/>
        <w:jc w:val="both"/>
      </w:pPr>
      <w:r w:rsidRPr="00C04443">
        <w:t>- по головному розпоряднику коштів - департаменту житлово-комунального комплексу – 22047,3 тис.грн., касові видатки склали 15428,1 тис.грн., або 70,0 відс. до  річних призначень.</w:t>
      </w:r>
    </w:p>
    <w:p w:rsidR="00C04443" w:rsidRPr="00C04443" w:rsidRDefault="00C04443" w:rsidP="00C04443">
      <w:pPr>
        <w:spacing w:before="2" w:after="2"/>
        <w:ind w:firstLine="567"/>
        <w:jc w:val="both"/>
      </w:pPr>
      <w:r w:rsidRPr="00C04443">
        <w:lastRenderedPageBreak/>
        <w:t>Кредиторська заборгованість по спеціальному фонду бюджету розвитку станом на 01.01.2016 року відсутня.</w:t>
      </w:r>
    </w:p>
    <w:p w:rsidR="00C04443" w:rsidRPr="00C04443" w:rsidRDefault="00C04443" w:rsidP="00C04443">
      <w:pPr>
        <w:ind w:firstLine="567"/>
        <w:jc w:val="both"/>
      </w:pPr>
      <w:r w:rsidRPr="00C04443">
        <w:t>Станом на 01.01.2016 року дебіторська заборгованість по спеціальному фонду бюджету розвитку складає 1622,5 тис.грн. (прострочена - 74,3 тис.грн.), як невідпрацьовані аванси: 1548,2 тис.грн. на реконструкцію вул. Молоткова м.Черкси; 74,3 тис.грн. на будівництво, реконструкцію та капітальний ремонт тротуарів (</w:t>
      </w:r>
      <w:r w:rsidRPr="00C04443">
        <w:rPr>
          <w:sz w:val="22"/>
          <w:szCs w:val="22"/>
        </w:rPr>
        <w:t>Господарським судом Черкаської області винесено постанову №925/1342/14 від 05.01.2015 року щодо визнання ПВП ЧШРБУ банкрутом та відкрито ліквідаційну процедуру</w:t>
      </w:r>
      <w:r w:rsidRPr="00C04443">
        <w:t>).</w:t>
      </w:r>
    </w:p>
    <w:p w:rsidR="00C04443" w:rsidRPr="00C04443" w:rsidRDefault="00C04443" w:rsidP="00C04443">
      <w:pPr>
        <w:ind w:firstLine="539"/>
        <w:jc w:val="both"/>
      </w:pPr>
    </w:p>
    <w:p w:rsidR="00C04443" w:rsidRPr="00C04443" w:rsidRDefault="00C04443" w:rsidP="00C04443">
      <w:pPr>
        <w:jc w:val="center"/>
        <w:rPr>
          <w:b/>
          <w:bCs/>
          <w:i/>
          <w:iCs/>
          <w:u w:val="single"/>
        </w:rPr>
      </w:pPr>
      <w:r w:rsidRPr="00C04443">
        <w:rPr>
          <w:b/>
          <w:bCs/>
          <w:i/>
          <w:iCs/>
          <w:u w:val="single"/>
        </w:rPr>
        <w:t>КТКВК 180409 Внески органів  місцевого самоврядування у статутні капітали</w:t>
      </w:r>
    </w:p>
    <w:p w:rsidR="00C04443" w:rsidRPr="00C04443" w:rsidRDefault="00C04443" w:rsidP="00C04443">
      <w:pPr>
        <w:jc w:val="center"/>
        <w:rPr>
          <w:b/>
          <w:bCs/>
          <w:i/>
          <w:iCs/>
          <w:u w:val="single"/>
        </w:rPr>
      </w:pPr>
      <w:r w:rsidRPr="00C04443">
        <w:rPr>
          <w:b/>
          <w:bCs/>
          <w:i/>
          <w:iCs/>
          <w:u w:val="single"/>
        </w:rPr>
        <w:t>суб’єктів підприємницької діяльності</w:t>
      </w:r>
    </w:p>
    <w:p w:rsidR="00C04443" w:rsidRPr="00C04443" w:rsidRDefault="00C04443" w:rsidP="00C04443">
      <w:pPr>
        <w:widowControl w:val="0"/>
        <w:ind w:firstLine="567"/>
        <w:jc w:val="both"/>
        <w:rPr>
          <w:lang w:eastAsia="x-none"/>
        </w:rPr>
      </w:pPr>
      <w:r w:rsidRPr="00C04443">
        <w:rPr>
          <w:lang w:eastAsia="x-none"/>
        </w:rPr>
        <w:t>За рахунок коштів бюджету розвитку передбачені внески в статутні капітали комунальних підприємств міста в сумі 18963,3 тис.грн., касові видатки склали 16755,7 тис.грн., або 88,4 відс. до річного плану, із них:</w:t>
      </w:r>
    </w:p>
    <w:p w:rsidR="00C04443" w:rsidRPr="00C04443" w:rsidRDefault="00C04443" w:rsidP="00C04443">
      <w:pPr>
        <w:ind w:firstLine="540"/>
        <w:jc w:val="both"/>
      </w:pPr>
      <w:r w:rsidRPr="00C04443">
        <w:t>- КП «Кінотеатр Україна» - 799,9 тис.грн., у т.ч.: 499,9 тис.грн. на капітальний ремонт приміщень (покрівля) КП «Кінотеатр Україна» (з ПКД); 150,0 тис.грн. на капітальний ремонт системи водопроводу та каналізації в адмінбудівлі  КП «Кінотеатр Україна» (з ПКД); 150,0 тис.грн. на капітальний ремонт приміщень (санвузли)  КП "Кінотеатр Україна" (з ПКД);</w:t>
      </w:r>
    </w:p>
    <w:p w:rsidR="00C04443" w:rsidRPr="00C04443" w:rsidRDefault="00C04443" w:rsidP="00C04443">
      <w:pPr>
        <w:ind w:firstLine="540"/>
        <w:jc w:val="both"/>
      </w:pPr>
      <w:r w:rsidRPr="00C04443">
        <w:t>- КП «Дирекція парків» – 870,8 тис.грн., у т.ч.: 498,6 тис.грн. на  придбання трактора; 98,0 тис.грн. на реконструкцію адміністративної будівлі в Дитячому парку (з ПКД); 119,3 тис.грн. на придбання трактора з відвалом, причепом та подрібнювачем відходів деревини; 80,0 тис.грн. на капітальний ремонт набережної Митниця 1 черга з ПКД; 39,0 тис.грн. на придбання світлодіодних конструкцій; 35,9 тис.грн. на придбання газонокосарок;</w:t>
      </w:r>
    </w:p>
    <w:p w:rsidR="00C04443" w:rsidRPr="00C04443" w:rsidRDefault="00C04443" w:rsidP="00C04443">
      <w:pPr>
        <w:ind w:firstLine="540"/>
        <w:jc w:val="both"/>
      </w:pPr>
      <w:r w:rsidRPr="00C04443">
        <w:t>- КП «Центральний стадіон» - 925,5 тис.грн., у т.ч.: 237,0 тис.грн. - на реконструкцію спортивного майданчика № ІІ у багатофункціональний з поліуритановим покриттям КП «Центральний стадіон» м.Черкаси, вул. Смілянська,78; 412,5 тис.грн. - на капітальний ремонт частини трибун для глядачів (пішохідної доріжки)   на центральній арені  КП «Центральний стадіон» (з  ПКД) м. Черкаси вул. Смілянська,78; 120,0 тис.грн. на облаштування засобами відео спостереження; 78,0 тис.грн. на реконструкцію запасного футбольного поля на території КП "Центральний стадіон" по вул. Смілянській,78 м. Черкаси (з ПКД); 78,0 тис.грн. на будівництво системи освітлення багатофункціонального ігрового майданчика № ІІ з поліуретановим покриттям;</w:t>
      </w:r>
    </w:p>
    <w:p w:rsidR="00C04443" w:rsidRPr="00C04443" w:rsidRDefault="00C04443" w:rsidP="00C04443">
      <w:pPr>
        <w:ind w:firstLine="540"/>
        <w:jc w:val="both"/>
      </w:pPr>
      <w:r w:rsidRPr="00C04443">
        <w:t>- КП «Соснівська СУБ» - 18,8 тис.грн. на придбання та встановлення елементів на дитячому майданчику за адресою вул. Ярослава Галана, 19;</w:t>
      </w:r>
    </w:p>
    <w:p w:rsidR="00C04443" w:rsidRPr="00C04443" w:rsidRDefault="00C04443" w:rsidP="00C04443">
      <w:pPr>
        <w:ind w:firstLine="540"/>
        <w:jc w:val="both"/>
      </w:pPr>
      <w:r w:rsidRPr="00C04443">
        <w:t>- КП «Черкасиелектротранс» - 535,3 тис.грн. на капітальний ремонт контактної мережі;</w:t>
      </w:r>
    </w:p>
    <w:p w:rsidR="00C04443" w:rsidRPr="00C04443" w:rsidRDefault="00C04443" w:rsidP="00C04443">
      <w:pPr>
        <w:ind w:firstLine="540"/>
        <w:jc w:val="both"/>
      </w:pPr>
      <w:r w:rsidRPr="00C04443">
        <w:t>- КПТМ «Черкаситеплокомуненерго» - 1930,0 тис.грн. на капітальний ремонт взятих на баланс безгосподарських мереж теплопостачання та гарячого водопостачання;</w:t>
      </w:r>
    </w:p>
    <w:p w:rsidR="00C04443" w:rsidRPr="00C04443" w:rsidRDefault="00C04443" w:rsidP="00C04443">
      <w:pPr>
        <w:ind w:firstLine="540"/>
        <w:jc w:val="both"/>
      </w:pPr>
      <w:r w:rsidRPr="00C04443">
        <w:t xml:space="preserve">- КП «СУБ «Митниця» - 78,8 тис. грн., у т.ч.: 39,4 тис.грн. на придбання обладнання для спортивного майданчика по вул. Гагаріна, </w:t>
      </w:r>
      <w:smartTag w:uri="urn:schemas-microsoft-com:office:smarttags" w:element="metricconverter">
        <w:smartTagPr>
          <w:attr w:name="ProductID" w:val="21 м"/>
        </w:smartTagPr>
        <w:r w:rsidRPr="00C04443">
          <w:t>21 м</w:t>
        </w:r>
      </w:smartTag>
      <w:r w:rsidRPr="00C04443">
        <w:t xml:space="preserve">. Черкаси; 39,4 тис.грн. на придбання обладнання для спортивного майданчика по вул. Гагаріна, </w:t>
      </w:r>
      <w:smartTag w:uri="urn:schemas-microsoft-com:office:smarttags" w:element="metricconverter">
        <w:smartTagPr>
          <w:attr w:name="ProductID" w:val="37 м"/>
        </w:smartTagPr>
        <w:r w:rsidRPr="00C04443">
          <w:t>37 м</w:t>
        </w:r>
      </w:smartTag>
      <w:r w:rsidRPr="00C04443">
        <w:t>. Черкаси;</w:t>
      </w:r>
    </w:p>
    <w:p w:rsidR="00C04443" w:rsidRPr="00C04443" w:rsidRDefault="00C04443" w:rsidP="00C04443">
      <w:pPr>
        <w:ind w:firstLine="540"/>
        <w:jc w:val="both"/>
      </w:pPr>
      <w:r w:rsidRPr="00C04443">
        <w:t>- КП «Придніпровська СУБ» - 252,8 тис.грн., у т.ч.: 238,4 тис.грн. на капітальний ремонт спортивних майданчиків по вул. В. Чорновола, 71, Петровського, 160/1-160/2; 14,4 тис.грн. на придбання елементів для дитячих та спортивних майданчиків;</w:t>
      </w:r>
    </w:p>
    <w:p w:rsidR="00C04443" w:rsidRPr="00C04443" w:rsidRDefault="00C04443" w:rsidP="00C04443">
      <w:pPr>
        <w:ind w:firstLine="540"/>
        <w:jc w:val="both"/>
      </w:pPr>
      <w:r w:rsidRPr="00C04443">
        <w:t>- КП «Черкасиводоканал» - 295,5 тис.грн. на капітальний ремонт башти Шухова (роботи розпочаті у 2014 році);</w:t>
      </w:r>
    </w:p>
    <w:p w:rsidR="00C04443" w:rsidRPr="00C04443" w:rsidRDefault="00C04443" w:rsidP="00C04443">
      <w:pPr>
        <w:ind w:firstLine="540"/>
        <w:jc w:val="both"/>
        <w:rPr>
          <w:highlight w:val="yellow"/>
        </w:rPr>
      </w:pPr>
      <w:r w:rsidRPr="00C04443">
        <w:t xml:space="preserve">- КП «Міськсвітло» – 9767,1 тис.грн., у т.ч.: 895,6 тис.грн. на реконструкцію мереж зовнішнього освітлення по вул. Благовісній (від вул. Дашковича до вул. Можайського) із застосуванням енергозберігаючих технологій; 125,1 тис.грн. на реконструкцію мереж зовнішнього освітлення прибудинкової території житлових будинків по вул. Гагаріна 49,51; 1583,8 тис.грн. на реконструкцію мереж зовнішнього освітлення із застосуванням енергозберігаючих технологій по вул. Гагаріна (з ПКД); 134,5 тис.грн. на реконструкцію мереж зовнішнього освітлення прибудинкової території житлових будинків № 9,11,13,19,21,23 по вул.  Героїв Сталінграда; 104,4 тис.грн. на реконструкцію мереж зовнішнього освітлення вул. Калініна (вул. Горького до вул. Вербовецького); 161,7 тис.грн. </w:t>
      </w:r>
      <w:r w:rsidRPr="00C04443">
        <w:lastRenderedPageBreak/>
        <w:t>на реконструкцію мереж зовнішнього освітлення прибудинкової території житлових будинків по вул. Гагаріна 21,25,27; 337,9 тис.грн. на реконструкцію мереж зовнішнього освітлення прибудинкової території житлових будинків № 5, 7, 9, 9/1, 11, 13 по вул. Гайдара; 94,5 тис.грн. на реконструкцію мереж зовнішнього освітлення біля будинків 91,93, 95 по вул.Котовського (з ПКД); 443,3 тис.грн. на реконструкцію мереж зовнішнього освітлення вул. Б.Хмельницького  (від вул.Г. Дніпра до вул.Гагаріна) (з ПКД); 1045,3 тис.грн. на реконструкцію мереж зовнішнього освітлення із застосуванням енергозберігаючих технологій по вул. Смілянська (з ПКД); 2568,8 тис.грн. на реконструкцію мереж зовнішнього освітлення із застосуванням енергозберігаючих технологій по бул. Шевченка (з ПКД); 87,4 тис.грн. на реконструкцію мереж зовнішнього освітлення прибудинкової території житлових будинків № 42-45 по вул.Чигиринська; 49,6 тис.грн. на реконструкцію мереж зовнішнього освітлення прибудинкової території житлового будинку № 469 по вул. Благовісній; 131,4 тис.грн. на реконструкцію існуючих мереж зовнішнього освітлення по вул. Ватутіна (від вул. Рябоконя до вул. Пацаєва); 1196,9 тис.грн. на реконструкцію існуючих мереж зовнішнього освітлення по вул. Канівській; 58,5 тис.грн. на реконструкцію існуючих мереж зовнішнього освітлення по вул. Чекістів; 56,9 тис.грн. на реконструкцію існуючих мереж зовнішнього освітлення прибудинкових територій житлових будинків № 6, 8 по вул. Добровольського; 102,1 тис.грн. на реконструкцію мереж зовнішнього освітлення прибудинкової території житлових будинків № 33, 35, 37, 39 по вул. Гагаріна; 225,2 тис.грн. на реконструкцію мереж зовнішнього освітлення прибудинкової території житлових будинків № 81, 83, 85, 87 по вул. Героїв Дніпра; 176,9 тис.грн. на реконструкцію мереж зовнішнього освітлення пішоходної алеї між житловим будинком по вул. Смільнській № 106,106/1, 106/2, 108 по напрямку до житлового будинку по вул. Хоменка; 187,3 тис.грн. на реконструкцію мереж зовнішнього освітлення на прибудинковій території по вул. Чехова 106, 108, 110;</w:t>
      </w:r>
    </w:p>
    <w:p w:rsidR="00C04443" w:rsidRPr="00C04443" w:rsidRDefault="00C04443" w:rsidP="00C04443">
      <w:pPr>
        <w:ind w:firstLine="540"/>
        <w:jc w:val="both"/>
      </w:pPr>
      <w:r w:rsidRPr="00C04443">
        <w:t>- КП «Черкаська служба чистоти» - 66,3 тис.грн. на будівництво контейнерного майданчика по вул. Пастерівській;</w:t>
      </w:r>
    </w:p>
    <w:p w:rsidR="00C04443" w:rsidRPr="00C04443" w:rsidRDefault="00C04443" w:rsidP="00C04443">
      <w:pPr>
        <w:ind w:firstLine="540"/>
        <w:jc w:val="both"/>
      </w:pPr>
      <w:r w:rsidRPr="00C04443">
        <w:t xml:space="preserve">- КП «Комбінат комунальних підприємств» - 65,8 тис.грн. на капітальний ремонт Будинку траура (з ПКД); </w:t>
      </w:r>
    </w:p>
    <w:p w:rsidR="00C04443" w:rsidRPr="00C04443" w:rsidRDefault="00C04443" w:rsidP="00C04443">
      <w:pPr>
        <w:ind w:firstLine="540"/>
        <w:jc w:val="both"/>
        <w:rPr>
          <w:highlight w:val="yellow"/>
        </w:rPr>
      </w:pPr>
      <w:r w:rsidRPr="00C04443">
        <w:t>- КП «ЧЕЛУАШ» - 1149,1 тис.грн. у т.ч.: 914,6 тис.грн. на капітальний ремонт зупинок громадського транспорту; 99,5 тис.грн. на придбання приладу для визначення щільності грунта; 29,4 тис.грн. на придбання відбійного молотка електричного; 17,6 тис.грн. на придбання мийки високого тиску; 31,7 тис.грн. на придбання генератора бензинового; 56,3 тис.грн. на капітальний ремонт глибинного насосу по вул. Пацаєва.</w:t>
      </w:r>
    </w:p>
    <w:p w:rsidR="00C04443" w:rsidRPr="00C04443" w:rsidRDefault="00C04443" w:rsidP="00C04443">
      <w:pPr>
        <w:spacing w:before="2" w:after="2"/>
        <w:ind w:firstLine="567"/>
        <w:jc w:val="both"/>
      </w:pPr>
      <w:r w:rsidRPr="00C04443">
        <w:t>Дебіторська та кредиторська заборгованість по спеціальному фонду бюджету розвитку станом на 01.01.2016 року відсутня.</w:t>
      </w:r>
    </w:p>
    <w:p w:rsidR="00C04443" w:rsidRPr="00C04443" w:rsidRDefault="00C04443" w:rsidP="00C04443">
      <w:pPr>
        <w:widowControl w:val="0"/>
        <w:spacing w:before="120"/>
        <w:jc w:val="center"/>
        <w:rPr>
          <w:b/>
          <w:bCs/>
          <w:i/>
          <w:iCs/>
          <w:u w:val="single"/>
        </w:rPr>
      </w:pPr>
      <w:r w:rsidRPr="00C04443">
        <w:rPr>
          <w:b/>
          <w:bCs/>
          <w:i/>
          <w:iCs/>
          <w:u w:val="single"/>
        </w:rPr>
        <w:t>Охорона навколишнього природного середовища (КТКВК 200000)</w:t>
      </w:r>
    </w:p>
    <w:p w:rsidR="00C04443" w:rsidRPr="00C04443" w:rsidRDefault="00C04443" w:rsidP="00C04443">
      <w:pPr>
        <w:ind w:firstLine="567"/>
        <w:jc w:val="both"/>
      </w:pPr>
      <w:r w:rsidRPr="00C04443">
        <w:t xml:space="preserve">По загальному фонду міського бюджету на 2015 рік заплановані видатки на природоохоронні заходи у сумі </w:t>
      </w:r>
      <w:r w:rsidRPr="00C04443">
        <w:rPr>
          <w:lang w:val="ru-RU"/>
        </w:rPr>
        <w:t>5143</w:t>
      </w:r>
      <w:r w:rsidRPr="00C04443">
        <w:t>,</w:t>
      </w:r>
      <w:r w:rsidRPr="00C04443">
        <w:rPr>
          <w:lang w:val="ru-RU"/>
        </w:rPr>
        <w:t>1</w:t>
      </w:r>
      <w:r w:rsidRPr="00C04443">
        <w:t xml:space="preserve"> тис.грн. Касові видатки склали 4739,</w:t>
      </w:r>
      <w:r w:rsidRPr="00C04443">
        <w:rPr>
          <w:lang w:val="ru-RU"/>
        </w:rPr>
        <w:t>4</w:t>
      </w:r>
      <w:r w:rsidRPr="00C04443">
        <w:t xml:space="preserve"> тис.грн., або </w:t>
      </w:r>
      <w:r w:rsidRPr="00C04443">
        <w:rPr>
          <w:lang w:val="ru-RU"/>
        </w:rPr>
        <w:t>92</w:t>
      </w:r>
      <w:r w:rsidRPr="00C04443">
        <w:t>,</w:t>
      </w:r>
      <w:r w:rsidRPr="00C04443">
        <w:rPr>
          <w:lang w:val="ru-RU"/>
        </w:rPr>
        <w:t>2</w:t>
      </w:r>
      <w:r w:rsidRPr="00C04443">
        <w:t xml:space="preserve"> відс. до уточненого річного плану, в тому числі:</w:t>
      </w:r>
    </w:p>
    <w:p w:rsidR="00C04443" w:rsidRPr="00C04443" w:rsidRDefault="00C04443" w:rsidP="00C04443">
      <w:pPr>
        <w:ind w:firstLine="540"/>
        <w:jc w:val="both"/>
      </w:pPr>
      <w:r w:rsidRPr="00C04443">
        <w:t xml:space="preserve">- </w:t>
      </w:r>
      <w:r w:rsidRPr="00C04443">
        <w:rPr>
          <w:i/>
        </w:rPr>
        <w:t>на збереження природно-заповідного фонду (КТКВК 200600)</w:t>
      </w:r>
      <w:r w:rsidRPr="00C04443">
        <w:t xml:space="preserve"> передбачено 408,8 тис.грн., касові видатки склали 308,</w:t>
      </w:r>
      <w:r w:rsidRPr="00C04443">
        <w:rPr>
          <w:lang w:val="ru-RU"/>
        </w:rPr>
        <w:t>8</w:t>
      </w:r>
      <w:r w:rsidRPr="00C04443">
        <w:t xml:space="preserve"> тис.грн., або 75,5 відс. до уточненого річного плану. Кошти використані на заходи по збереженню природно-заповідного фонду (створення доріжок, заміна малих архітектурних споруд, створення огорож в парках 50-річчя Радянської влади та «Перемога», скверах «Надія» та «Хіміків», ремонт схилу в парку 50-річчя Радянської влади) – 288,8 тис.грн.; на розроблення проекту утримання і реконструкції парку 50-річчя Радянської влади – 20,0 тис.грн.;</w:t>
      </w:r>
    </w:p>
    <w:p w:rsidR="00C04443" w:rsidRPr="00C04443" w:rsidRDefault="00C04443" w:rsidP="00C04443">
      <w:pPr>
        <w:ind w:firstLine="567"/>
        <w:jc w:val="both"/>
      </w:pPr>
      <w:r w:rsidRPr="00C04443">
        <w:rPr>
          <w:i/>
        </w:rPr>
        <w:t xml:space="preserve"> - на інші природоохоронні заходи (КТКВК 200700)</w:t>
      </w:r>
      <w:r w:rsidRPr="00C04443">
        <w:t xml:space="preserve"> передбачено 4734,3 тис.грн., касові видатки склали 4430,6 тис.грн., або 93,6 відс. до уточненого річного плану. Кошти використані на ліквідацію наслідків буреломів, прибирання вітровальних дерев, вивіз, утилізацію – 184,1 тис.грн.; заходи з озеленення міста, посадку зелених насаджень на території міста, проведення робіт з озеленення на території міста, заміну аварійних та сухостійних дерев, утримання лісопаркових зон та лісів міста, парків, скверів, відновлення газонів (в т.ч. кредиторська заборгованість 451,9 тис.грн. 2014 року) – 3062,9 тис.грн.; проведення робіт по боротьбі з омелою (обрізка гілля, ураженого омелою; знесення дерев, </w:t>
      </w:r>
      <w:r w:rsidRPr="00C04443">
        <w:lastRenderedPageBreak/>
        <w:t>уражених омелою) (в т.ч. кредиторська заборгованість 42,7 тис.грн. 2014 року) – 88,2 тис.грн.; проведення робіт по боротьбі з амброзією (косіння, механічні та агрохімічні заходи по знищенню амброзії) – 234,3 тис.грн.; проведення заходів по боротьбі зі шкідниками на зелених насадженнях – 281,8 тис.грн.; утилізацію та збір небезпечних відходів – 151,7 тис.грн.; ліквідацію стихійних сміттєзвалищ (в т.ч. кредиторська заборгованість 28,3 тис.грн. 2014 року) – 387,5 тис.грн.; проведення науково-практичних конференцій і семінарів, організація виставок та інших заходів щодо охорони навколишнього середовища (кредиторська заборгованість 2014 року) – 40,0 тис.грн..</w:t>
      </w:r>
    </w:p>
    <w:p w:rsidR="00C04443" w:rsidRPr="00C04443" w:rsidRDefault="00C04443" w:rsidP="00C04443">
      <w:pPr>
        <w:ind w:firstLine="567"/>
        <w:jc w:val="both"/>
      </w:pPr>
      <w:r w:rsidRPr="00C04443">
        <w:t>Станом на 01.01.2016 по загальному фонду кредиторська та дебіторська заборгованість відсутня.</w:t>
      </w:r>
    </w:p>
    <w:p w:rsidR="00C04443" w:rsidRPr="00C04443" w:rsidRDefault="00C04443" w:rsidP="00C04443">
      <w:pPr>
        <w:ind w:firstLine="567"/>
        <w:jc w:val="both"/>
      </w:pPr>
      <w:r w:rsidRPr="00C04443">
        <w:t>За рахунок коштів спеціального фонду (бюджет розвитку) передбачені видатки на природоохоронні заходи в сумі 4276,9 тис.грн., касові видатки склали 3066,</w:t>
      </w:r>
      <w:r w:rsidRPr="00C04443">
        <w:rPr>
          <w:lang w:val="ru-RU"/>
        </w:rPr>
        <w:t>4</w:t>
      </w:r>
      <w:r w:rsidRPr="00C04443">
        <w:t xml:space="preserve"> тис.грн., або 71,7 відс. до уточнених річних призначень, в тому числі:</w:t>
      </w:r>
    </w:p>
    <w:p w:rsidR="00C04443" w:rsidRPr="00C04443" w:rsidRDefault="00C04443" w:rsidP="00C04443">
      <w:pPr>
        <w:ind w:firstLine="540"/>
        <w:jc w:val="both"/>
      </w:pPr>
      <w:r w:rsidRPr="00C04443">
        <w:t xml:space="preserve">- </w:t>
      </w:r>
      <w:r w:rsidRPr="00C04443">
        <w:rPr>
          <w:i/>
        </w:rPr>
        <w:t>на охорону та раціональне використання водних  ресурсів (КТКВК 200100)</w:t>
      </w:r>
      <w:r w:rsidRPr="00C04443">
        <w:t xml:space="preserve"> передбачено 2354,5 тис.грн., касові видатки склали 2167,</w:t>
      </w:r>
      <w:r w:rsidRPr="00C04443">
        <w:rPr>
          <w:lang w:val="ru-RU"/>
        </w:rPr>
        <w:t>1</w:t>
      </w:r>
      <w:r w:rsidRPr="00C04443">
        <w:t xml:space="preserve"> тис.грн., або 92,0 відс. до уточнених річних призначень. Кошти використані на будівництво очисних споруд на витоку зливових вод з колектора глибокого залягання по вул. Крилова (в тому числі ПКД) (кредиторська заборгованість 2014 року)</w:t>
      </w:r>
      <w:r w:rsidRPr="00C04443">
        <w:rPr>
          <w:lang w:val="ru-RU"/>
        </w:rPr>
        <w:t xml:space="preserve"> – 208,3 тис.грн.</w:t>
      </w:r>
      <w:r w:rsidRPr="00C04443">
        <w:t>; будівництво об’єктів зливової каналізації по вул. Смілянській від вул. Вернигори до перехрестя з вул. Леніна</w:t>
      </w:r>
      <w:r w:rsidRPr="00C04443">
        <w:rPr>
          <w:lang w:val="ru-RU"/>
        </w:rPr>
        <w:t xml:space="preserve"> – 1958,8 тис.грн.</w:t>
      </w:r>
      <w:r w:rsidRPr="00C04443">
        <w:t xml:space="preserve">; </w:t>
      </w:r>
    </w:p>
    <w:p w:rsidR="00C04443" w:rsidRPr="00C04443" w:rsidRDefault="00C04443" w:rsidP="00C04443">
      <w:pPr>
        <w:ind w:firstLine="567"/>
        <w:jc w:val="both"/>
      </w:pPr>
      <w:r w:rsidRPr="00C04443">
        <w:rPr>
          <w:i/>
        </w:rPr>
        <w:t xml:space="preserve"> - на збереження природно-заповідного фонду (КТКВК 200600) </w:t>
      </w:r>
      <w:r w:rsidRPr="00C04443">
        <w:t xml:space="preserve">передбачено 1155,0 тис.грн., касові видатки склали 606,8 тис.грн., або 52,5 відс. до уточнених річних призначень. Кошти використані на будівництво зони відпочинку – сквер «Водограй міста Черкаси» - 316,7 тс.грн.; створення (капітальний ремонт) доріжок в парку «50-річчя Радянської влади» - 290,1 тис.грн.; </w:t>
      </w:r>
    </w:p>
    <w:p w:rsidR="00C04443" w:rsidRPr="00C04443" w:rsidRDefault="00C04443" w:rsidP="00C04443">
      <w:pPr>
        <w:ind w:firstLine="567"/>
        <w:jc w:val="both"/>
      </w:pPr>
      <w:r w:rsidRPr="00C04443">
        <w:t xml:space="preserve">- </w:t>
      </w:r>
      <w:r w:rsidRPr="00C04443">
        <w:rPr>
          <w:i/>
        </w:rPr>
        <w:t>на інші природоохоронні заходи (КТКВК 200700)</w:t>
      </w:r>
      <w:r w:rsidRPr="00C04443">
        <w:t xml:space="preserve"> передбачено 767,4 тис.грн., касові видатки склали 292,5 тис.грн., або 38,1 відс. до уточнених річних призначень. Кошти використані на погашення кредиторської заборгованості 2014 року по реконструкції полігону твердих побутових відходів в районі с. Руська Поляна</w:t>
      </w:r>
      <w:r w:rsidRPr="00C04443">
        <w:rPr>
          <w:lang w:val="ru-RU"/>
        </w:rPr>
        <w:t xml:space="preserve"> – 292,5 тис.грн.</w:t>
      </w:r>
      <w:r w:rsidRPr="00C04443">
        <w:t xml:space="preserve">. </w:t>
      </w:r>
    </w:p>
    <w:p w:rsidR="00C04443" w:rsidRPr="00C04443" w:rsidRDefault="00C04443" w:rsidP="00C04443">
      <w:pPr>
        <w:ind w:firstLine="567"/>
        <w:jc w:val="both"/>
      </w:pPr>
      <w:r w:rsidRPr="00C04443">
        <w:t>Станом на 01.01.2016 по спеціальному фонду (бюджету розвитку) кредиторська та дебіторська заборгованість відсутня.</w:t>
      </w:r>
    </w:p>
    <w:p w:rsidR="00C04443" w:rsidRPr="00C04443" w:rsidRDefault="00C04443" w:rsidP="00C04443">
      <w:pPr>
        <w:ind w:firstLine="567"/>
        <w:jc w:val="both"/>
      </w:pPr>
      <w:r w:rsidRPr="00C04443">
        <w:t xml:space="preserve">Детальний перелік природоохоронних заходів за 2015 рік наведений у додатку 3 до інформації про використання коштів міського бюджету (пояснюючої до звіту про виконання міського бюджету м. Черкаси за 2015 рік), що додається. </w:t>
      </w:r>
    </w:p>
    <w:p w:rsidR="00C04443" w:rsidRPr="00C04443" w:rsidRDefault="00C04443" w:rsidP="00C04443">
      <w:pPr>
        <w:spacing w:before="2" w:after="2"/>
        <w:ind w:firstLine="567"/>
        <w:jc w:val="both"/>
      </w:pPr>
      <w:r w:rsidRPr="00C04443">
        <w:t>За рахунок коштів, які надходять у порядку відшкодування втрат сільськогосподарського і лісогосподарського виробництва відповідно до Програми використання та охорони земель м. Черкаси на 2012-2015 роки, затвердженої рішенням міської ради від 09.02.2012 № 3-583 (зі змінами , головний розпорядник коштів – департамент архітектури, містобудування та інспектування Черкаської міської ради.),</w:t>
      </w:r>
      <w:r w:rsidRPr="00C04443">
        <w:rPr>
          <w:i/>
        </w:rPr>
        <w:t xml:space="preserve"> на охорону і раціональне використання земель (КТКВК 200200)</w:t>
      </w:r>
      <w:r w:rsidRPr="00C04443">
        <w:t>, по спеціальному фонду міського бюджету передбачено 307,6 тис.грн. на охорону земель відповідно до розроблених проектів землеустрою,  а саме:</w:t>
      </w:r>
    </w:p>
    <w:p w:rsidR="00C04443" w:rsidRPr="00C04443" w:rsidRDefault="00C04443" w:rsidP="00C04443">
      <w:pPr>
        <w:spacing w:before="2" w:after="2"/>
        <w:ind w:firstLine="567"/>
        <w:jc w:val="both"/>
      </w:pPr>
      <w:r w:rsidRPr="00C04443">
        <w:t>- на  визначення межі водоохоронної зони та прибережної захисної смуги р.Дніпро (Кременчуцького водосховища) в межах міста Черкаси  - 80,0 тис.грн.;</w:t>
      </w:r>
    </w:p>
    <w:p w:rsidR="00C04443" w:rsidRPr="00C04443" w:rsidRDefault="00C04443" w:rsidP="00C04443">
      <w:pPr>
        <w:spacing w:before="2" w:after="2"/>
        <w:ind w:firstLine="567"/>
        <w:jc w:val="both"/>
      </w:pPr>
      <w:r w:rsidRPr="00C04443">
        <w:t>-  на розроблення технічної документації із землеустрою щодо встановлення меж земельної ділянки в натурі (на місцевості) водоохоронних меж та прибережних смуг в м. Черкаси - 227,6 тис.грн.</w:t>
      </w:r>
    </w:p>
    <w:p w:rsidR="00C04443" w:rsidRPr="00C04443" w:rsidRDefault="00C04443" w:rsidP="00C04443">
      <w:pPr>
        <w:spacing w:before="2" w:after="2"/>
        <w:ind w:firstLine="567"/>
        <w:jc w:val="both"/>
      </w:pPr>
      <w:r w:rsidRPr="00C04443">
        <w:t>Касові видатки у 2015 році не проводились через відсутність погодження  відповідними органами влади у встановленому порядку    проекту  землеустрою щодо встановлення водоохоронної зони вздовж частини Кременчуцького водосховища на р.Дніпро в адміністративних межах м.Черкаси.</w:t>
      </w:r>
    </w:p>
    <w:p w:rsidR="00C04443" w:rsidRPr="00C04443" w:rsidRDefault="00C04443" w:rsidP="00C04443">
      <w:pPr>
        <w:spacing w:before="2" w:after="2"/>
        <w:ind w:firstLine="567"/>
        <w:jc w:val="both"/>
      </w:pPr>
      <w:r w:rsidRPr="00C04443">
        <w:t xml:space="preserve"> Дебіторська та кредиторська заборгованість по спеціальному фонду станом на 01.01.2016 року відсутня.</w:t>
      </w:r>
    </w:p>
    <w:p w:rsidR="00C04443" w:rsidRPr="00C04443" w:rsidRDefault="00C04443" w:rsidP="00C04443">
      <w:pPr>
        <w:widowControl w:val="0"/>
        <w:jc w:val="center"/>
        <w:rPr>
          <w:b/>
          <w:bCs/>
          <w:i/>
          <w:iCs/>
          <w:u w:val="single"/>
        </w:rPr>
      </w:pPr>
      <w:r w:rsidRPr="00C04443">
        <w:rPr>
          <w:b/>
          <w:bCs/>
          <w:i/>
          <w:iCs/>
          <w:u w:val="single"/>
        </w:rPr>
        <w:t>КТКВК</w:t>
      </w:r>
      <w:r w:rsidRPr="00C04443">
        <w:rPr>
          <w:b/>
          <w:bCs/>
          <w:i/>
          <w:u w:val="single"/>
        </w:rPr>
        <w:t xml:space="preserve"> 210105 </w:t>
      </w:r>
      <w:r w:rsidRPr="00C04443">
        <w:rPr>
          <w:b/>
          <w:bCs/>
          <w:i/>
          <w:iCs/>
          <w:u w:val="single"/>
        </w:rPr>
        <w:t xml:space="preserve">Видатки на запобігання </w:t>
      </w:r>
    </w:p>
    <w:p w:rsidR="00C04443" w:rsidRPr="00C04443" w:rsidRDefault="00C04443" w:rsidP="00C04443">
      <w:pPr>
        <w:widowControl w:val="0"/>
        <w:jc w:val="center"/>
        <w:rPr>
          <w:b/>
          <w:bCs/>
          <w:i/>
          <w:iCs/>
          <w:u w:val="single"/>
        </w:rPr>
      </w:pPr>
      <w:r w:rsidRPr="00C04443">
        <w:rPr>
          <w:b/>
          <w:bCs/>
          <w:i/>
          <w:iCs/>
          <w:u w:val="single"/>
        </w:rPr>
        <w:lastRenderedPageBreak/>
        <w:t xml:space="preserve">та ліквідацію надзвичайних ситуацій та наслідків стихійного лиха </w:t>
      </w:r>
    </w:p>
    <w:p w:rsidR="00C04443" w:rsidRPr="00C04443" w:rsidRDefault="00C04443" w:rsidP="00C04443">
      <w:pPr>
        <w:widowControl w:val="0"/>
        <w:tabs>
          <w:tab w:val="left" w:pos="720"/>
        </w:tabs>
        <w:ind w:firstLine="567"/>
        <w:jc w:val="both"/>
      </w:pPr>
      <w:r w:rsidRPr="00C04443">
        <w:t xml:space="preserve">По </w:t>
      </w:r>
      <w:r w:rsidRPr="00C04443">
        <w:rPr>
          <w:b/>
          <w:bCs/>
        </w:rPr>
        <w:t>Програмі захисту населення м. Черкаси від надзвичайних ситуацій техногенного і природного характеру</w:t>
      </w:r>
      <w:r w:rsidRPr="00C04443">
        <w:t xml:space="preserve">, затвердженої рішенням Черкаської міської ради від 24.11.2011 № 3-347 (зі змінами, головні розпорядники коштів – департамент житлово-комунального комплексу та департамент охорони здоров’я та медичних послуг ЧМР) по загальному фонду бюджету уточнені річні призначення становлять 893,9 тис.грн. Касові видатки склали </w:t>
      </w:r>
      <w:r w:rsidRPr="00C04443">
        <w:rPr>
          <w:lang w:val="ru-RU"/>
        </w:rPr>
        <w:t>89</w:t>
      </w:r>
      <w:r w:rsidRPr="00C04443">
        <w:t xml:space="preserve">3,9 тис.грн., або 100 відс. до уточненого річного плану. Кошти були використані на: накопичення матеріального резерву місцевого рівня – 158,0 тис.грн.   (придбання медикаментів та лікарських засобів), </w:t>
      </w:r>
      <w:r w:rsidRPr="00C04443">
        <w:rPr>
          <w:iCs/>
        </w:rPr>
        <w:t>придбання паливно-мастильних матеріалів для забезпечення роботи автотранспортної техніки, автономних джерел живлення, технічних засобів для проведення рятувальних та інших невідкладних робіт, пов’язаних з загрозою або виникненням надзвичайних ситуацій (аварій, подій) –</w:t>
      </w:r>
      <w:r w:rsidRPr="00C04443">
        <w:t xml:space="preserve"> 735,4 тис.грн. (в т.ч. погашення кредиторської заборгованості за 2014 рік – 553,0 тис.грн.), забезпечення харчування сил міської ланки територіальної підсистеми єдиної державної системи цивільного захисту – 0,5 тис.грн.</w:t>
      </w:r>
    </w:p>
    <w:p w:rsidR="00C04443" w:rsidRPr="00C04443" w:rsidRDefault="00C04443" w:rsidP="00C04443">
      <w:pPr>
        <w:widowControl w:val="0"/>
        <w:ind w:firstLine="540"/>
        <w:rPr>
          <w:bCs/>
          <w:iCs/>
        </w:rPr>
      </w:pPr>
      <w:r w:rsidRPr="00C04443">
        <w:rPr>
          <w:bCs/>
          <w:iCs/>
        </w:rPr>
        <w:t>Кредиторська та дебіторська заборгованість по загальному фонду станом на 01.01.2016 року відсутня.</w:t>
      </w:r>
    </w:p>
    <w:p w:rsidR="00C04443" w:rsidRPr="00C04443" w:rsidRDefault="00C04443" w:rsidP="00C04443">
      <w:pPr>
        <w:widowControl w:val="0"/>
        <w:jc w:val="center"/>
        <w:rPr>
          <w:b/>
          <w:bCs/>
          <w:i/>
          <w:u w:val="single"/>
          <w:lang w:val="ru-RU"/>
        </w:rPr>
      </w:pPr>
    </w:p>
    <w:p w:rsidR="00C04443" w:rsidRPr="00C04443" w:rsidRDefault="00C04443" w:rsidP="00C04443">
      <w:pPr>
        <w:widowControl w:val="0"/>
        <w:jc w:val="center"/>
        <w:rPr>
          <w:b/>
          <w:bCs/>
          <w:i/>
          <w:iCs/>
          <w:u w:val="single"/>
        </w:rPr>
      </w:pPr>
      <w:r w:rsidRPr="00C04443">
        <w:rPr>
          <w:b/>
          <w:bCs/>
          <w:i/>
          <w:u w:val="single"/>
        </w:rPr>
        <w:t xml:space="preserve">КТКВК 210110 </w:t>
      </w:r>
      <w:r w:rsidRPr="00C04443">
        <w:rPr>
          <w:b/>
          <w:bCs/>
          <w:i/>
          <w:iCs/>
          <w:u w:val="single"/>
        </w:rPr>
        <w:t xml:space="preserve">Заходи з організації рятування на водах </w:t>
      </w:r>
    </w:p>
    <w:p w:rsidR="00C04443" w:rsidRPr="00C04443" w:rsidRDefault="00C04443" w:rsidP="00C04443">
      <w:pPr>
        <w:widowControl w:val="0"/>
        <w:ind w:firstLine="567"/>
        <w:jc w:val="both"/>
      </w:pPr>
      <w:r w:rsidRPr="00C04443">
        <w:t xml:space="preserve">По </w:t>
      </w:r>
      <w:r w:rsidRPr="00C04443">
        <w:rPr>
          <w:b/>
          <w:bCs/>
        </w:rPr>
        <w:t>Програмі забезпечення рятувальних заходів на водних об’єктах м. Черкаси комунальною установою «Черкаська міська комунальна аварійно-рятувальна служба»</w:t>
      </w:r>
      <w:r w:rsidRPr="00C04443">
        <w:rPr>
          <w:bCs/>
        </w:rPr>
        <w:t>,</w:t>
      </w:r>
      <w:r w:rsidRPr="00C04443">
        <w:t xml:space="preserve"> затвердженої  рішенням Черкаської міської ради від 14.10.2014 № 2-199 (головний розпорядник коштів – департамент житлово-комунального комплексу Черкаської міської ради),  уточнені річні призначення по загальному фонду становлять 1041,5 тис.грн. Касові видатки склали 1039,7 тис.грн., або 99,8 відс. до уточненого річного плану. Кошти використані на утримання міської комунальної аварійно-рятувальної служби, в тому числі на: заробітну плату та нарахування – 895,0 тис.грн., оплату спожитих енергоносіїв та комунальних послуг – 35,5 тис.грн., облаштування пляжної території, придбання, виготовлення спеціальних пристосувань для рятування на водних об’єктах – 8,0 тис.грн., навчання матросів-рятувальників (професійну підготовку, атестацію) навчання посадових осіб з питань охорони праці – 11,9 тис.грн., придбання паливно-мастильних матеріалів – 52,0 тис.грн., страхування життя рятувальників від нещасних випадків, страхування транспортних засобів, проведення техогляду човнів – 3,6 тис.грн., оренду контейнера, вивезення твердих побутових відходів – 0,8 тис.грн., </w:t>
      </w:r>
      <w:r w:rsidRPr="00C04443">
        <w:rPr>
          <w:iCs/>
        </w:rPr>
        <w:t xml:space="preserve">ремонт, технічне обслуговування рятувальних та транспортних засобів – 20,3 тис.грн., придбання канцтоварів (папір), миючих засобів, аптечок, фарб та лаків – 2,3 тис.грн., проведення медичного обстеження рятувальників – 0,7 тис.грн., </w:t>
      </w:r>
      <w:r w:rsidRPr="00C04443">
        <w:t xml:space="preserve">послуги зв’язку, </w:t>
      </w:r>
      <w:r w:rsidRPr="00C04443">
        <w:rPr>
          <w:iCs/>
        </w:rPr>
        <w:t>оренду приміщення</w:t>
      </w:r>
      <w:r w:rsidRPr="00C04443">
        <w:t xml:space="preserve"> та інші видатки – 5,8 тис.грн. та на погашення кредиторської заборгованості за 2014 рік – 3,8 тис.грн.</w:t>
      </w:r>
    </w:p>
    <w:p w:rsidR="00C04443" w:rsidRPr="00C04443" w:rsidRDefault="00C04443" w:rsidP="00C04443">
      <w:pPr>
        <w:widowControl w:val="0"/>
        <w:ind w:firstLine="567"/>
        <w:jc w:val="both"/>
        <w:rPr>
          <w:bCs/>
          <w:iCs/>
        </w:rPr>
      </w:pPr>
      <w:r w:rsidRPr="00C04443">
        <w:rPr>
          <w:iCs/>
        </w:rPr>
        <w:t>Кредиторська та</w:t>
      </w:r>
      <w:r w:rsidRPr="00C04443">
        <w:rPr>
          <w:bCs/>
          <w:iCs/>
        </w:rPr>
        <w:t xml:space="preserve"> дебіторська заборгованість по загальному фонду станом на 01.01.2016 року відсутня.</w:t>
      </w:r>
    </w:p>
    <w:p w:rsidR="00C04443" w:rsidRPr="00C04443" w:rsidRDefault="00C04443" w:rsidP="00C04443">
      <w:pPr>
        <w:ind w:firstLine="567"/>
        <w:jc w:val="both"/>
        <w:rPr>
          <w:lang w:val="ru-RU"/>
        </w:rPr>
      </w:pPr>
      <w:r w:rsidRPr="00C04443">
        <w:t>По спеціальному фонду (власні надходження) передбачені видатки на 2015 рік в сумі 11,0 тис.грн., касові видатки не проводились.</w:t>
      </w:r>
    </w:p>
    <w:p w:rsidR="00C04443" w:rsidRPr="00C04443" w:rsidRDefault="00C04443" w:rsidP="00C04443">
      <w:pPr>
        <w:widowControl w:val="0"/>
        <w:ind w:firstLine="539"/>
        <w:jc w:val="both"/>
        <w:rPr>
          <w:lang w:eastAsia="x-none"/>
        </w:rPr>
      </w:pPr>
      <w:r w:rsidRPr="00C04443">
        <w:rPr>
          <w:bCs/>
          <w:lang w:eastAsia="x-none"/>
        </w:rPr>
        <w:t>По спеціальному фонду (</w:t>
      </w:r>
      <w:r w:rsidRPr="00C04443">
        <w:rPr>
          <w:lang w:eastAsia="x-none"/>
        </w:rPr>
        <w:t>бюджету розвитку) уточнений план видатків на 2015 рік склав 49,5 тис.грн., касові видатки склали 100,0 відс. до річного плану.</w:t>
      </w:r>
    </w:p>
    <w:p w:rsidR="00C04443" w:rsidRPr="00C04443" w:rsidRDefault="00C04443" w:rsidP="00C04443">
      <w:pPr>
        <w:widowControl w:val="0"/>
        <w:ind w:firstLine="567"/>
        <w:jc w:val="both"/>
      </w:pPr>
      <w:r w:rsidRPr="00C04443">
        <w:t xml:space="preserve">Кредиторська та дебіторська заборгованість по </w:t>
      </w:r>
      <w:r w:rsidRPr="00C04443">
        <w:rPr>
          <w:iCs/>
        </w:rPr>
        <w:t>спеціальному фонду (</w:t>
      </w:r>
      <w:r w:rsidRPr="00C04443">
        <w:rPr>
          <w:bCs/>
          <w:iCs/>
        </w:rPr>
        <w:t>бюджету розвитку)</w:t>
      </w:r>
      <w:r w:rsidRPr="00C04443">
        <w:rPr>
          <w:b/>
          <w:bCs/>
          <w:i/>
          <w:iCs/>
        </w:rPr>
        <w:t xml:space="preserve"> </w:t>
      </w:r>
      <w:r w:rsidRPr="00C04443">
        <w:t xml:space="preserve"> станом на 01.01.2016</w:t>
      </w:r>
      <w:r w:rsidRPr="00C04443">
        <w:rPr>
          <w:b/>
        </w:rPr>
        <w:t xml:space="preserve"> </w:t>
      </w:r>
      <w:r w:rsidRPr="00C04443">
        <w:t xml:space="preserve">відсутня. </w:t>
      </w:r>
    </w:p>
    <w:p w:rsidR="00C04443" w:rsidRPr="00C04443" w:rsidRDefault="00C04443" w:rsidP="00C04443">
      <w:pPr>
        <w:widowControl w:val="0"/>
        <w:ind w:firstLine="567"/>
        <w:jc w:val="both"/>
        <w:rPr>
          <w:highlight w:val="yellow"/>
        </w:rPr>
      </w:pPr>
    </w:p>
    <w:p w:rsidR="00C04443" w:rsidRPr="00C04443" w:rsidRDefault="00C04443" w:rsidP="00C04443">
      <w:pPr>
        <w:widowControl w:val="0"/>
        <w:jc w:val="center"/>
        <w:rPr>
          <w:b/>
          <w:bCs/>
          <w:i/>
          <w:iCs/>
          <w:u w:val="single"/>
        </w:rPr>
      </w:pPr>
      <w:r w:rsidRPr="00C04443">
        <w:rPr>
          <w:b/>
          <w:bCs/>
          <w:i/>
          <w:iCs/>
          <w:u w:val="single"/>
        </w:rPr>
        <w:t>КТКВК 230000 Обслуговування внутрішнього боргу</w:t>
      </w:r>
    </w:p>
    <w:p w:rsidR="00C04443" w:rsidRPr="00C04443" w:rsidRDefault="00C04443" w:rsidP="00C04443">
      <w:pPr>
        <w:spacing w:before="60"/>
        <w:ind w:firstLine="539"/>
        <w:jc w:val="both"/>
      </w:pPr>
      <w:r w:rsidRPr="00C04443">
        <w:t>По загальному фонду на 2015 рік передбачені видатки в сумі 8376,0 тис.грн., на виплату відсоткового доходу за облігаціями внутрішньої місцевої позики, які були випущені в 2011 році на суму 60000,0 тис.грн. Касові видатки склали 8376,0 тис.грн., або 100,0  відс. до уточненого річного плану.</w:t>
      </w:r>
    </w:p>
    <w:p w:rsidR="00C04443" w:rsidRPr="00C04443" w:rsidRDefault="00C04443" w:rsidP="00C04443">
      <w:pPr>
        <w:widowControl w:val="0"/>
        <w:spacing w:before="120"/>
        <w:jc w:val="center"/>
        <w:rPr>
          <w:b/>
          <w:bCs/>
          <w:i/>
          <w:iCs/>
          <w:u w:val="single"/>
        </w:rPr>
      </w:pPr>
      <w:r w:rsidRPr="00C04443">
        <w:rPr>
          <w:b/>
          <w:bCs/>
          <w:i/>
          <w:iCs/>
          <w:u w:val="single"/>
        </w:rPr>
        <w:t>Охорона навколишнього природного середовища (КТКВК 240600)</w:t>
      </w:r>
    </w:p>
    <w:p w:rsidR="00C04443" w:rsidRPr="00C04443" w:rsidRDefault="00C04443" w:rsidP="00C04443">
      <w:pPr>
        <w:ind w:firstLine="567"/>
        <w:jc w:val="both"/>
      </w:pPr>
      <w:r w:rsidRPr="00C04443">
        <w:lastRenderedPageBreak/>
        <w:t>По спеціальному фонду міського бюджету на 2015 рік заплановані видатки на природоохоронні заходи у сумі 13677,4 тис.грн., касові видатки склали 9444,8 тис.грн., або 69,1 відс. до уточнених річних призначень, в тому числі:</w:t>
      </w:r>
    </w:p>
    <w:p w:rsidR="00C04443" w:rsidRPr="00C04443" w:rsidRDefault="00C04443" w:rsidP="00C04443">
      <w:pPr>
        <w:ind w:firstLine="540"/>
        <w:jc w:val="both"/>
      </w:pPr>
      <w:r w:rsidRPr="00C04443">
        <w:t xml:space="preserve">- </w:t>
      </w:r>
      <w:r w:rsidRPr="00C04443">
        <w:rPr>
          <w:i/>
        </w:rPr>
        <w:t>на охорону та раціональне використання природних ресурсів (КТКВК 240601)</w:t>
      </w:r>
      <w:r w:rsidRPr="00C04443">
        <w:t xml:space="preserve"> передбачено 8786,1 тис.грн., касові видатки склали 6372,8 тис.грн., або 72,5 відс. до уточнених річних призначень. Кошти використані на проведення аналітичного контролю за станом забруднення атмосферного повітря на трьох стаціонарних постах – 49,0 тис.грн.; заходи з озеленення міста, посадку зелених насаджень на території міста, проведення робіт з озеленення на території міста, заміну аварійних та сухостійних дерев, утримання лісопаркових зон та лісів міста, парків, скверів, відновлення газонів – 930,0 тис.грн.; реконструкцію системи водопостачання та водовідведення в сквері «Хіміків» (встановлення громадського туалету) – 3,5 тис.грн.; будівництво об’єктів зливової напірної каналізації по вул. Оборонній від військової частини до перехрестя з вул. Смілянською – 2205,8 тис.грн.; будівництво зливової напірної каналізації по вул. Смілянській від накопичувальних басейнів (між вул. Хоменка та вул. Вернигори) до перехрестя з вул. Вернигори – 3063,5 тис.грн.; ліквідацію наслідків буреломів, прибирання вітровальних дерев, вивіз, утилізації – 121,0 тис.грн.;</w:t>
      </w:r>
    </w:p>
    <w:p w:rsidR="00C04443" w:rsidRPr="00C04443" w:rsidRDefault="00C04443" w:rsidP="00C04443">
      <w:pPr>
        <w:ind w:firstLine="540"/>
        <w:jc w:val="both"/>
      </w:pPr>
      <w:r w:rsidRPr="00C04443">
        <w:rPr>
          <w:i/>
        </w:rPr>
        <w:t xml:space="preserve"> - на утилізацію відходів (КТКВК 240602)</w:t>
      </w:r>
      <w:r w:rsidRPr="00C04443">
        <w:t xml:space="preserve"> передбачено 3272,8 тис.грн., касові видатки склали 1660,7 тис.грн., або 50,7 відс. до уточнених річних призначень. Кошти використані на ліквідацію стихійних сміттєзвалищ – 234,5 тис.грн.; придбання урн для роздільного збирання твердих побутових відходів – 98,6 тис.грн.; реконструкцію полігону твердих побутових відходів в районі с. Руська Поляна – 211,5 тис.грн. та на реконструкцію полігону твердих побутових відходів в районі с. Руська Поляна (2-а черга) – 1116,1 тис.грн.;</w:t>
      </w:r>
    </w:p>
    <w:p w:rsidR="00C04443" w:rsidRPr="00C04443" w:rsidRDefault="00C04443" w:rsidP="00C04443">
      <w:pPr>
        <w:ind w:firstLine="567"/>
        <w:jc w:val="both"/>
      </w:pPr>
      <w:r w:rsidRPr="00C04443">
        <w:t xml:space="preserve">- </w:t>
      </w:r>
      <w:r w:rsidRPr="00C04443">
        <w:rPr>
          <w:i/>
        </w:rPr>
        <w:t>на іншу діяльність у сфері охорони навколишнього природного середовища (КТКВК 240604)</w:t>
      </w:r>
      <w:r w:rsidRPr="00C04443">
        <w:t xml:space="preserve"> передбачено 100,0 тис.грн., касові видатки склали 40,0 тис.грн., або 40,0 відс. до уточнених річних призначень. Кошти використані на проведення науково-практичних конференцій і семінарів, організацію виставок та інших заходів щодо охорони навколишнього середовища</w:t>
      </w:r>
      <w:r w:rsidRPr="00C04443">
        <w:rPr>
          <w:lang w:val="ru-RU"/>
        </w:rPr>
        <w:t xml:space="preserve"> – 40,0 тис.грн.</w:t>
      </w:r>
      <w:r w:rsidRPr="00C04443">
        <w:t xml:space="preserve">; </w:t>
      </w:r>
    </w:p>
    <w:p w:rsidR="00C04443" w:rsidRPr="00C04443" w:rsidRDefault="00C04443" w:rsidP="00C04443">
      <w:pPr>
        <w:ind w:firstLine="567"/>
        <w:jc w:val="both"/>
      </w:pPr>
      <w:r w:rsidRPr="00C04443">
        <w:t xml:space="preserve"> - </w:t>
      </w:r>
      <w:r w:rsidRPr="00C04443">
        <w:rPr>
          <w:i/>
        </w:rPr>
        <w:t xml:space="preserve">на </w:t>
      </w:r>
      <w:r w:rsidRPr="00C04443">
        <w:t>з</w:t>
      </w:r>
      <w:r w:rsidRPr="00C04443">
        <w:rPr>
          <w:i/>
        </w:rPr>
        <w:t>береження природно-заповідного фонду (КТКВК 240605)</w:t>
      </w:r>
      <w:r w:rsidRPr="00C04443">
        <w:t xml:space="preserve"> передбачено 1518,5 тис.грн., касові видатки склали 1371,3 тис.грн., або 90,3 відс. до уточнених річних призначень. Кошти використані на заходи по збереженню природно-заповідного фонду (створення доріжок, заміна малих архітектурних споруд, створення огорож в парках 50-річчя Радянської влади та «Перемога», скверах «Надія» та «Хіміків», ремонт схилу в парку 50-річчя Радянської влади) – 15,0 тис.грн.; будівництво комплексу вольєрів та приміщень для леопардів та рисей Черкаського міського зоологічного парку – 592,2 тис.грн.; реконструкцію орлятника Черкаського міського зоологічного парку – 199,7 тис.грн.; реконструкцію схилу в парку «50-ти річчя Радянської влади» - 252,3 тис.грн.; створення (капітальний ремонт) доріжок в парку «50-річчя Радянської влади» - 312,1 тис.грн..</w:t>
      </w:r>
    </w:p>
    <w:p w:rsidR="00C04443" w:rsidRPr="00C04443" w:rsidRDefault="00C04443" w:rsidP="00C04443">
      <w:pPr>
        <w:ind w:firstLine="567"/>
        <w:jc w:val="both"/>
      </w:pPr>
      <w:r w:rsidRPr="00C04443">
        <w:t>Станом на 01.01.2016 року  по спеціальному фонду кредиторська та дебіторська заборгованість відсутня.</w:t>
      </w:r>
    </w:p>
    <w:p w:rsidR="00C04443" w:rsidRPr="00C04443" w:rsidRDefault="00C04443" w:rsidP="00C04443">
      <w:pPr>
        <w:ind w:firstLine="567"/>
        <w:jc w:val="both"/>
      </w:pPr>
      <w:r w:rsidRPr="00C04443">
        <w:t xml:space="preserve">Детальний перелік природоохоронних заходів за 2015 рік наведений у додатку 3 до інформації про використання коштів міського бюджету (пояснюючої до звіту про виконання міського бюджету м.Черкаси за 2015 рік), що додається. </w:t>
      </w:r>
    </w:p>
    <w:p w:rsidR="00C04443" w:rsidRPr="00C04443" w:rsidRDefault="00C04443" w:rsidP="00C04443">
      <w:pPr>
        <w:keepNext/>
        <w:widowControl w:val="0"/>
        <w:jc w:val="center"/>
        <w:outlineLvl w:val="7"/>
        <w:rPr>
          <w:b/>
          <w:bCs/>
          <w:iCs/>
          <w:highlight w:val="yellow"/>
          <w:u w:val="single"/>
        </w:rPr>
      </w:pPr>
    </w:p>
    <w:p w:rsidR="00C04443" w:rsidRPr="00C04443" w:rsidRDefault="00C04443" w:rsidP="00C04443">
      <w:pPr>
        <w:keepNext/>
        <w:widowControl w:val="0"/>
        <w:jc w:val="center"/>
        <w:outlineLvl w:val="7"/>
        <w:rPr>
          <w:b/>
          <w:bCs/>
          <w:iCs/>
          <w:u w:val="single"/>
        </w:rPr>
      </w:pPr>
      <w:r w:rsidRPr="00C04443">
        <w:rPr>
          <w:b/>
          <w:bCs/>
          <w:iCs/>
          <w:u w:val="single"/>
        </w:rPr>
        <w:t xml:space="preserve">Видатки не віднесені до основних груп </w:t>
      </w:r>
    </w:p>
    <w:p w:rsidR="00C04443" w:rsidRPr="00C04443" w:rsidRDefault="00C04443" w:rsidP="00C04443">
      <w:pPr>
        <w:spacing w:before="120"/>
        <w:jc w:val="center"/>
        <w:rPr>
          <w:b/>
          <w:bCs/>
          <w:i/>
          <w:iCs/>
          <w:u w:val="single"/>
        </w:rPr>
      </w:pPr>
      <w:r w:rsidRPr="00C04443">
        <w:rPr>
          <w:b/>
          <w:i/>
          <w:u w:val="single"/>
        </w:rPr>
        <w:t xml:space="preserve">КТКВК </w:t>
      </w:r>
      <w:r w:rsidRPr="00C04443">
        <w:rPr>
          <w:b/>
          <w:bCs/>
          <w:i/>
          <w:iCs/>
          <w:u w:val="single"/>
        </w:rPr>
        <w:t>250102 Резервний фонд</w:t>
      </w:r>
    </w:p>
    <w:p w:rsidR="00C04443" w:rsidRPr="00C04443" w:rsidRDefault="00C04443" w:rsidP="00C04443">
      <w:pPr>
        <w:tabs>
          <w:tab w:val="left" w:pos="4215"/>
        </w:tabs>
        <w:ind w:firstLine="540"/>
        <w:jc w:val="both"/>
      </w:pPr>
      <w:r w:rsidRPr="00C04443">
        <w:t>На 2015 рік уточнені річні призначення резервного фонду міського бюджету склали 489,9 тис.грн. Кошти з резервного фонду в  2015 році не виділялись.</w:t>
      </w:r>
    </w:p>
    <w:p w:rsidR="00C04443" w:rsidRPr="00C04443" w:rsidRDefault="00C04443" w:rsidP="00C04443">
      <w:pPr>
        <w:jc w:val="center"/>
        <w:rPr>
          <w:bCs/>
          <w:i/>
          <w:iCs/>
          <w:u w:val="single"/>
        </w:rPr>
      </w:pPr>
    </w:p>
    <w:p w:rsidR="00C04443" w:rsidRPr="00C04443" w:rsidRDefault="00C04443" w:rsidP="00C04443">
      <w:pPr>
        <w:jc w:val="center"/>
        <w:rPr>
          <w:b/>
          <w:bCs/>
          <w:i/>
          <w:iCs/>
          <w:u w:val="single"/>
        </w:rPr>
      </w:pPr>
      <w:r w:rsidRPr="00C04443">
        <w:rPr>
          <w:b/>
          <w:bCs/>
          <w:i/>
          <w:iCs/>
          <w:u w:val="single"/>
        </w:rPr>
        <w:t>Реверсна дотація (</w:t>
      </w:r>
      <w:r w:rsidRPr="00C04443">
        <w:rPr>
          <w:b/>
          <w:bCs/>
          <w:i/>
          <w:u w:val="single"/>
        </w:rPr>
        <w:t>КТКВК</w:t>
      </w:r>
      <w:r w:rsidRPr="00C04443">
        <w:rPr>
          <w:b/>
          <w:bCs/>
          <w:i/>
          <w:iCs/>
          <w:u w:val="single"/>
        </w:rPr>
        <w:t xml:space="preserve"> 250301)</w:t>
      </w:r>
    </w:p>
    <w:p w:rsidR="00C04443" w:rsidRPr="00C04443" w:rsidRDefault="00C04443" w:rsidP="00C04443">
      <w:pPr>
        <w:spacing w:before="60"/>
        <w:ind w:firstLine="567"/>
        <w:jc w:val="both"/>
        <w:rPr>
          <w:bCs/>
          <w:u w:val="single"/>
        </w:rPr>
      </w:pPr>
      <w:r w:rsidRPr="00C04443">
        <w:rPr>
          <w:bCs/>
        </w:rPr>
        <w:t>За рахунок коштів загального фонду на 2015 рік передбачена реверсна дотація у сумі 22 263,4 тис.грн. За рік до державного бюджету перераховано 22 263,4 тис.грн., що складає 100,0 відс. до річного плану.</w:t>
      </w:r>
    </w:p>
    <w:p w:rsidR="00C04443" w:rsidRPr="00C04443" w:rsidRDefault="00C04443" w:rsidP="00C04443">
      <w:pPr>
        <w:jc w:val="center"/>
        <w:rPr>
          <w:b/>
          <w:bCs/>
          <w:i/>
          <w:iCs/>
          <w:highlight w:val="yellow"/>
          <w:u w:val="single"/>
        </w:rPr>
      </w:pPr>
    </w:p>
    <w:p w:rsidR="00C04443" w:rsidRPr="00C04443" w:rsidRDefault="00C04443" w:rsidP="00C04443">
      <w:pPr>
        <w:jc w:val="center"/>
        <w:rPr>
          <w:b/>
          <w:bCs/>
          <w:i/>
          <w:iCs/>
          <w:u w:val="single"/>
        </w:rPr>
      </w:pPr>
      <w:r w:rsidRPr="00C04443">
        <w:rPr>
          <w:b/>
          <w:bCs/>
          <w:i/>
          <w:iCs/>
          <w:u w:val="single"/>
        </w:rPr>
        <w:lastRenderedPageBreak/>
        <w:t>Субвенція з державного бюджету місцевим бюджетам на проведення виборів депутатів місцевих рад та сільських, селищних міських голів (КТКВК 250203)</w:t>
      </w:r>
    </w:p>
    <w:p w:rsidR="00C04443" w:rsidRPr="00C04443" w:rsidRDefault="00C04443" w:rsidP="00C04443">
      <w:pPr>
        <w:spacing w:before="60"/>
        <w:ind w:firstLine="567"/>
        <w:jc w:val="both"/>
      </w:pPr>
      <w:r w:rsidRPr="00C04443">
        <w:t>По загальному фонду на проведення виборів депутатів місцевих рад та сільських, селищних, міських голів на 201</w:t>
      </w:r>
      <w:r w:rsidRPr="00C04443">
        <w:rPr>
          <w:lang w:val="ru-RU"/>
        </w:rPr>
        <w:t>5</w:t>
      </w:r>
      <w:r w:rsidRPr="00C04443">
        <w:t xml:space="preserve"> рік передбачені видатки у сумі </w:t>
      </w:r>
      <w:r w:rsidRPr="00C04443">
        <w:rPr>
          <w:lang w:val="ru-RU"/>
        </w:rPr>
        <w:t>4414</w:t>
      </w:r>
      <w:r w:rsidRPr="00C04443">
        <w:t>,6 тис.грн., касові видатки склали 4087,5 тис.грн., або 92,6 відс. до призначень  на 2015 рік.</w:t>
      </w:r>
    </w:p>
    <w:p w:rsidR="00C04443" w:rsidRPr="00C04443" w:rsidRDefault="00C04443" w:rsidP="00C04443">
      <w:pPr>
        <w:jc w:val="center"/>
        <w:rPr>
          <w:b/>
          <w:bCs/>
          <w:i/>
          <w:highlight w:val="yellow"/>
          <w:lang w:val="ru-RU"/>
        </w:rPr>
      </w:pPr>
      <w:r w:rsidRPr="00C04443">
        <w:rPr>
          <w:b/>
          <w:bCs/>
          <w:i/>
          <w:highlight w:val="yellow"/>
        </w:rPr>
        <w:t xml:space="preserve"> </w:t>
      </w:r>
    </w:p>
    <w:p w:rsidR="00C04443" w:rsidRPr="00C04443" w:rsidRDefault="00C04443" w:rsidP="00C04443">
      <w:pPr>
        <w:jc w:val="center"/>
        <w:rPr>
          <w:b/>
          <w:bCs/>
          <w:i/>
          <w:iCs/>
          <w:u w:val="single"/>
        </w:rPr>
      </w:pPr>
      <w:r w:rsidRPr="00C04443">
        <w:rPr>
          <w:b/>
          <w:bCs/>
          <w:i/>
          <w:iCs/>
          <w:sz w:val="22"/>
          <w:szCs w:val="22"/>
          <w:u w:val="single"/>
        </w:rPr>
        <w:t xml:space="preserve">Субвенція </w:t>
      </w:r>
      <w:r w:rsidRPr="00C04443">
        <w:rPr>
          <w:b/>
          <w:bCs/>
          <w:i/>
          <w:iCs/>
          <w:u w:val="single"/>
        </w:rPr>
        <w:t>іншим бюджетам на виконання інвестиційних проектів (</w:t>
      </w:r>
      <w:r w:rsidRPr="00C04443">
        <w:rPr>
          <w:b/>
          <w:bCs/>
          <w:i/>
          <w:u w:val="single"/>
        </w:rPr>
        <w:t>КТКВК</w:t>
      </w:r>
      <w:r w:rsidRPr="00C04443">
        <w:rPr>
          <w:b/>
          <w:bCs/>
          <w:i/>
          <w:iCs/>
          <w:u w:val="single"/>
        </w:rPr>
        <w:t xml:space="preserve"> 250324)</w:t>
      </w:r>
    </w:p>
    <w:p w:rsidR="00C04443" w:rsidRPr="00C04443" w:rsidRDefault="00C04443" w:rsidP="00C04443">
      <w:pPr>
        <w:spacing w:before="60"/>
        <w:ind w:firstLine="550"/>
        <w:jc w:val="both"/>
        <w:rPr>
          <w:bCs/>
          <w:iCs/>
        </w:rPr>
      </w:pPr>
      <w:r w:rsidRPr="00C04443">
        <w:rPr>
          <w:bCs/>
        </w:rPr>
        <w:t xml:space="preserve">За рахунок коштів спеціального фонду бюджету розвитку на 2015 рік </w:t>
      </w:r>
      <w:r w:rsidRPr="00C04443">
        <w:rPr>
          <w:bCs/>
          <w:iCs/>
        </w:rPr>
        <w:t xml:space="preserve">передбачені видатки на надання субвенції обласному бюджету на погашення кредиторської заборгованості 2014 року в сумі 309,4 тис.грн., а саме по об’єктах: «Встановлення трьох флагштоків на прилеглій території до Будинку Рад по бульв. Шевченка, 185 у м. Черкасах» - 5,0 тис.грн.; «Реконструкція поліклініки під перинатальний центр КЗ «Черкаська обласна лікарня Черкаської обласної ради» по вул. Менделєєва, 3 в м. Черкаси» - 23,1 тис.грн.; «Житловий будинок для сімей з дітьми-інвалідами по вул. Конєва, 15/1, у м. Черкасах - ІІ черга (вбудовано-прибудовані приміщення); влаштування житлових приміщень-реконструкція» - 281,3 тис.грн. Касові видатки склали 100,0 відс. до річного плану. </w:t>
      </w:r>
    </w:p>
    <w:p w:rsidR="00C04443" w:rsidRPr="00C04443" w:rsidRDefault="00C04443" w:rsidP="00C04443">
      <w:pPr>
        <w:ind w:firstLine="567"/>
        <w:jc w:val="both"/>
        <w:rPr>
          <w:highlight w:val="yellow"/>
        </w:rPr>
      </w:pPr>
    </w:p>
    <w:p w:rsidR="00C04443" w:rsidRPr="00C04443" w:rsidRDefault="00C04443" w:rsidP="00C04443">
      <w:pPr>
        <w:jc w:val="center"/>
        <w:rPr>
          <w:b/>
          <w:bCs/>
          <w:i/>
          <w:iCs/>
          <w:u w:val="single"/>
        </w:rPr>
      </w:pPr>
      <w:r w:rsidRPr="00C04443">
        <w:rPr>
          <w:b/>
          <w:bCs/>
          <w:i/>
          <w:iCs/>
          <w:u w:val="single"/>
        </w:rPr>
        <w:t xml:space="preserve">Субвенція з місцевого бюджету державному бюджету на виконання програм </w:t>
      </w:r>
    </w:p>
    <w:p w:rsidR="00C04443" w:rsidRPr="00C04443" w:rsidRDefault="00C04443" w:rsidP="00C04443">
      <w:pPr>
        <w:jc w:val="center"/>
        <w:rPr>
          <w:b/>
          <w:bCs/>
          <w:i/>
          <w:iCs/>
          <w:u w:val="single"/>
        </w:rPr>
      </w:pPr>
      <w:r w:rsidRPr="00C04443">
        <w:rPr>
          <w:b/>
          <w:bCs/>
          <w:i/>
          <w:iCs/>
          <w:u w:val="single"/>
        </w:rPr>
        <w:t>соціально-економічного та культурного розвитку регіонів (</w:t>
      </w:r>
      <w:r w:rsidRPr="00C04443">
        <w:rPr>
          <w:b/>
          <w:bCs/>
          <w:i/>
          <w:u w:val="single"/>
        </w:rPr>
        <w:t>КТКВК</w:t>
      </w:r>
      <w:r w:rsidRPr="00C04443">
        <w:rPr>
          <w:b/>
          <w:bCs/>
          <w:i/>
          <w:iCs/>
          <w:u w:val="single"/>
        </w:rPr>
        <w:t xml:space="preserve"> 2503</w:t>
      </w:r>
      <w:r w:rsidRPr="00C04443">
        <w:rPr>
          <w:b/>
          <w:bCs/>
          <w:i/>
          <w:iCs/>
          <w:u w:val="single"/>
          <w:lang w:val="ru-RU"/>
        </w:rPr>
        <w:t>4</w:t>
      </w:r>
      <w:r w:rsidRPr="00C04443">
        <w:rPr>
          <w:b/>
          <w:bCs/>
          <w:i/>
          <w:iCs/>
          <w:u w:val="single"/>
        </w:rPr>
        <w:t>4)</w:t>
      </w:r>
    </w:p>
    <w:p w:rsidR="00C04443" w:rsidRPr="00C04443" w:rsidRDefault="00C04443" w:rsidP="00C04443">
      <w:pPr>
        <w:widowControl w:val="0"/>
        <w:spacing w:before="60"/>
        <w:ind w:firstLine="567"/>
        <w:jc w:val="both"/>
      </w:pPr>
      <w:r w:rsidRPr="00C04443">
        <w:t xml:space="preserve">По </w:t>
      </w:r>
      <w:r w:rsidRPr="00C04443">
        <w:rPr>
          <w:b/>
          <w:bCs/>
        </w:rPr>
        <w:t>Програмі забезпечення пожежної безпеки у м. Черкаси,</w:t>
      </w:r>
      <w:r w:rsidRPr="00C04443">
        <w:t xml:space="preserve"> затвердженої рішенням Черкаської міської ради від 23.06.2011 № 2-623 (головний розпорядник коштів – департамент житлово-комунального комплексу ЧМР), на 2015 рік уточнені призначення загального фонду становлять 200,0 тис.грн. Касові </w:t>
      </w:r>
      <w:r w:rsidRPr="00C04443">
        <w:rPr>
          <w:bCs/>
        </w:rPr>
        <w:t>видатки склали 100,0 відс. до річних призначень</w:t>
      </w:r>
      <w:r w:rsidRPr="00C04443">
        <w:t>. Кошти використані на придбання паливно-мастильних матеріалів.</w:t>
      </w:r>
    </w:p>
    <w:p w:rsidR="00C04443" w:rsidRPr="00C04443" w:rsidRDefault="00C04443" w:rsidP="00C04443">
      <w:pPr>
        <w:ind w:firstLine="567"/>
        <w:jc w:val="both"/>
        <w:rPr>
          <w:bCs/>
          <w:iCs/>
        </w:rPr>
      </w:pPr>
      <w:r w:rsidRPr="00C04443">
        <w:rPr>
          <w:bCs/>
        </w:rPr>
        <w:t xml:space="preserve">За рахунок коштів спеціального фонду (бюджету розвитку) на 2015 рік передбачені видатки на надання субвенції державному бюджету в сумі 1420,5 тис.грн., у т.ч.: 200,0 тис.грн. - по Програмі здійснення додаткових заходів із мобілізації коштів до міського бюджету; 1008,5 тис.грн. - для 2 -ДПРЗ у ДСНС України у Черкаській області на придбання пожежних рукавів, маслостанцій, гідравлічного інструменту для рятувальних робіт, бензорізів, мотопомп, ручних механічних лебідок, стаціонарних компресорів для заправки апаратів Постауер-SL (з комплектуючими), бензопил, апаратів  Постауер-SL (з комплектуючими), групових ліхтарів, стаціонарних та переносних лафетних стволів; 212,0 тис.грн. - для  2-ДПРЗ У ДСНС України у Черкаській області на придбання для мобільної оперативної групи реагування на надзвичайні ситуації: електрогенераторів-3 од.; мотопомпи-3 од.;радіостанції та освітлювальна установка "Світлова вежа". </w:t>
      </w:r>
      <w:r w:rsidRPr="00C04443">
        <w:rPr>
          <w:bCs/>
          <w:iCs/>
        </w:rPr>
        <w:t>Касові видатки склали 100,0 відс. до річного плану.</w:t>
      </w:r>
    </w:p>
    <w:p w:rsidR="00C04443" w:rsidRPr="00C04443" w:rsidRDefault="00C04443" w:rsidP="00C04443">
      <w:pPr>
        <w:ind w:firstLine="567"/>
        <w:jc w:val="both"/>
        <w:rPr>
          <w:bCs/>
          <w:iCs/>
          <w:sz w:val="22"/>
          <w:szCs w:val="22"/>
        </w:rPr>
      </w:pPr>
    </w:p>
    <w:p w:rsidR="00C04443" w:rsidRPr="00C04443" w:rsidRDefault="00C04443" w:rsidP="00C04443">
      <w:pPr>
        <w:jc w:val="center"/>
        <w:rPr>
          <w:b/>
          <w:bCs/>
          <w:i/>
          <w:iCs/>
          <w:u w:val="single"/>
        </w:rPr>
      </w:pPr>
      <w:r w:rsidRPr="00C04443">
        <w:rPr>
          <w:b/>
          <w:bCs/>
          <w:i/>
          <w:iCs/>
          <w:u w:val="single"/>
        </w:rPr>
        <w:t>Інші субвенції (</w:t>
      </w:r>
      <w:r w:rsidRPr="00C04443">
        <w:rPr>
          <w:b/>
          <w:bCs/>
          <w:i/>
          <w:u w:val="single"/>
        </w:rPr>
        <w:t>КТКВК</w:t>
      </w:r>
      <w:r w:rsidRPr="00C04443">
        <w:rPr>
          <w:b/>
          <w:bCs/>
          <w:i/>
          <w:iCs/>
          <w:u w:val="single"/>
        </w:rPr>
        <w:t xml:space="preserve"> 250380)</w:t>
      </w:r>
    </w:p>
    <w:p w:rsidR="00C04443" w:rsidRPr="00C04443" w:rsidRDefault="00C04443" w:rsidP="00C04443">
      <w:pPr>
        <w:spacing w:before="60"/>
        <w:ind w:firstLine="550"/>
        <w:jc w:val="both"/>
        <w:rPr>
          <w:bCs/>
          <w:iCs/>
        </w:rPr>
      </w:pPr>
      <w:r w:rsidRPr="00C04443">
        <w:rPr>
          <w:bCs/>
        </w:rPr>
        <w:t xml:space="preserve">За рахунок коштів спеціального фонду бюджету розвитку на 2015 рік </w:t>
      </w:r>
      <w:r w:rsidRPr="00C04443">
        <w:rPr>
          <w:bCs/>
          <w:iCs/>
        </w:rPr>
        <w:t xml:space="preserve">передбачені видатки на надання субвенції обласному бюджету у сумі 919,5 тис.грн., а саме по об’єктах: </w:t>
      </w:r>
    </w:p>
    <w:p w:rsidR="00C04443" w:rsidRPr="00C04443" w:rsidRDefault="00C04443" w:rsidP="00C04443">
      <w:pPr>
        <w:numPr>
          <w:ilvl w:val="0"/>
          <w:numId w:val="22"/>
        </w:numPr>
        <w:tabs>
          <w:tab w:val="num" w:pos="0"/>
          <w:tab w:val="left" w:pos="993"/>
        </w:tabs>
        <w:ind w:left="0" w:firstLine="851"/>
        <w:jc w:val="both"/>
        <w:rPr>
          <w:bCs/>
          <w:iCs/>
        </w:rPr>
      </w:pPr>
      <w:r w:rsidRPr="00C04443">
        <w:rPr>
          <w:bCs/>
          <w:iCs/>
        </w:rPr>
        <w:t>«Встановлення пам'ятного знаку Луці Кримському в місті Черкасах» - 300,0 тис.грн., касові видатки склали 100,0 відс. до річних призначень;</w:t>
      </w:r>
    </w:p>
    <w:p w:rsidR="00C04443" w:rsidRPr="00C04443" w:rsidRDefault="00C04443" w:rsidP="00C04443">
      <w:pPr>
        <w:numPr>
          <w:ilvl w:val="0"/>
          <w:numId w:val="22"/>
        </w:numPr>
        <w:tabs>
          <w:tab w:val="num" w:pos="0"/>
          <w:tab w:val="left" w:pos="993"/>
        </w:tabs>
        <w:ind w:left="0" w:firstLine="851"/>
        <w:jc w:val="both"/>
        <w:rPr>
          <w:bCs/>
          <w:iCs/>
        </w:rPr>
      </w:pPr>
      <w:r w:rsidRPr="00C04443">
        <w:rPr>
          <w:bCs/>
          <w:iCs/>
        </w:rPr>
        <w:t xml:space="preserve"> «Придбання відеолапароскопічної стійки з набором ендоскопічних інструментів для КЗ «Черкаська обласна дитяча лікарня» Черкаської обласної ради» - 619,5 тис.грн., касові видатки склали 100,0 відс. до річних призначень. </w:t>
      </w:r>
    </w:p>
    <w:p w:rsidR="00C04443" w:rsidRPr="00C04443" w:rsidRDefault="00C04443" w:rsidP="00C04443">
      <w:pPr>
        <w:widowControl w:val="0"/>
        <w:spacing w:before="120"/>
        <w:jc w:val="center"/>
        <w:rPr>
          <w:b/>
          <w:bCs/>
          <w:i/>
          <w:iCs/>
          <w:u w:val="single"/>
        </w:rPr>
      </w:pPr>
      <w:r w:rsidRPr="00C04443">
        <w:rPr>
          <w:b/>
          <w:bCs/>
          <w:i/>
          <w:iCs/>
          <w:u w:val="single"/>
        </w:rPr>
        <w:t xml:space="preserve">КТКВК 250404 «Інші видатки» </w:t>
      </w:r>
    </w:p>
    <w:p w:rsidR="00C04443" w:rsidRPr="00C04443" w:rsidRDefault="00C04443" w:rsidP="00C04443">
      <w:pPr>
        <w:widowControl w:val="0"/>
        <w:spacing w:before="120"/>
        <w:ind w:firstLine="540"/>
        <w:jc w:val="both"/>
      </w:pPr>
      <w:r w:rsidRPr="00C04443">
        <w:t xml:space="preserve">По КТКВК 250404 «Інші видатки» </w:t>
      </w:r>
      <w:r w:rsidRPr="00C04443">
        <w:rPr>
          <w:b/>
        </w:rPr>
        <w:t>по загальному фонду бюджету</w:t>
      </w:r>
      <w:r w:rsidRPr="00C04443">
        <w:t xml:space="preserve"> уточнені річні призначення на 2015 рік становлять 20221,6 тис.грн., касові видатки  склали 17006,5 тис.грн., або  84,1 відс. до уточненого річного плану, в тому числі:</w:t>
      </w:r>
    </w:p>
    <w:p w:rsidR="00C04443" w:rsidRPr="00C04443" w:rsidRDefault="00C04443" w:rsidP="00C04443">
      <w:pPr>
        <w:ind w:firstLine="540"/>
        <w:jc w:val="both"/>
      </w:pPr>
      <w:r w:rsidRPr="00C04443">
        <w:t>- по</w:t>
      </w:r>
      <w:r w:rsidRPr="00C04443">
        <w:rPr>
          <w:b/>
        </w:rPr>
        <w:t xml:space="preserve"> Програмі підтримки об’єднань співвласників багатоквартирних будинків (ОСББ) у м. Черкаси на 2015-2017 «Формування відповідального власника житла»</w:t>
      </w:r>
      <w:r w:rsidRPr="00C04443">
        <w:t xml:space="preserve">, затвердженої рішенням міської ради від 23.04.2015 № 2-1174 (із змінами, головний розпорядник коштів – департамент житлово-комунального комплексу </w:t>
      </w:r>
      <w:r w:rsidRPr="00C04443">
        <w:rPr>
          <w:bCs/>
          <w:iCs/>
        </w:rPr>
        <w:t>ЧМР</w:t>
      </w:r>
      <w:r w:rsidRPr="00C04443">
        <w:t xml:space="preserve">), </w:t>
      </w:r>
      <w:r w:rsidRPr="00C04443">
        <w:rPr>
          <w:bCs/>
          <w:iCs/>
        </w:rPr>
        <w:t xml:space="preserve">річні </w:t>
      </w:r>
      <w:r w:rsidRPr="00C04443">
        <w:rPr>
          <w:bCs/>
          <w:iCs/>
        </w:rPr>
        <w:lastRenderedPageBreak/>
        <w:t>призначення на 2015 рік становлять</w:t>
      </w:r>
      <w:r w:rsidRPr="00C04443">
        <w:t xml:space="preserve"> 50,0 тис.грн.,  касові видатки склали 34,8 тис.грн., або 69,6 відс. до річних призначень. Кошти використано на відшкодування суми відсотків за весь період користування кредитними коштами, залученими ОСББ на здійснення енергозберігаючих заходів та термомодернізації житлових будинків (в т.ч.: ОСББ «Толстого 48» -1,4 тис.грн., ОСББ «Злагода» -11,3 тис.грн., ОСББ «Дніпро» - 4,8 тис.грн., ОСББ «Власник» -14,5 тис.грн. та ОСББ «Гагаріна 45» -2,8 тис.грн.);</w:t>
      </w:r>
    </w:p>
    <w:p w:rsidR="00C04443" w:rsidRPr="00C04443" w:rsidRDefault="00C04443" w:rsidP="00C04443">
      <w:pPr>
        <w:ind w:firstLine="540"/>
        <w:jc w:val="both"/>
      </w:pPr>
      <w:r w:rsidRPr="00C04443">
        <w:t xml:space="preserve">- по </w:t>
      </w:r>
      <w:r w:rsidRPr="00C04443">
        <w:rPr>
          <w:b/>
        </w:rPr>
        <w:t xml:space="preserve">Програмі управління місцевим боргом та забезпечення обігу муніципальних облігацій у м. Черкаси, </w:t>
      </w:r>
      <w:r w:rsidRPr="00C04443">
        <w:t xml:space="preserve">затвердженої рішенням Черкаської міської ради від 22.11.2012 № 3-1345 (зі змінами, головний розпорядник коштів – департамент фінансової політики та департамент економіки та розвитку), при планових призначеннях у сумі 76,3 тис.грн., касові видатки склали 57,5 тис.грн., або 75,4 відс. до річних призначень. Кошти використано на послуги з оновлення кредитного рейтингу – 44,3 тис.грн. (в т.ч. погашення кредиторської заборгованості за 2014 рік - 14,8 тис.грн.), на оплату послуги електронного цифрового підпису - 1,3 тис.грн., послуг з надання статистичної інформації – 10,1 тис.грн., </w:t>
      </w:r>
      <w:r w:rsidRPr="00C04443">
        <w:rPr>
          <w:bCs/>
          <w:iCs/>
        </w:rPr>
        <w:t xml:space="preserve">на публікування в офіційному друкованому виданні річної інформації емітента облігацій місцевих позик за 2014 рік - </w:t>
      </w:r>
      <w:r w:rsidRPr="00C04443">
        <w:t>1,8 тис.грн.;</w:t>
      </w:r>
    </w:p>
    <w:p w:rsidR="00C04443" w:rsidRPr="00C04443" w:rsidRDefault="00C04443" w:rsidP="00C04443">
      <w:pPr>
        <w:ind w:firstLine="540"/>
        <w:jc w:val="both"/>
        <w:rPr>
          <w:bCs/>
          <w:iCs/>
          <w:lang w:eastAsia="x-none"/>
        </w:rPr>
      </w:pPr>
      <w:r w:rsidRPr="00C04443">
        <w:rPr>
          <w:lang w:eastAsia="x-none"/>
        </w:rPr>
        <w:t xml:space="preserve">- по </w:t>
      </w:r>
      <w:r w:rsidRPr="00C04443">
        <w:rPr>
          <w:b/>
          <w:lang w:eastAsia="x-none"/>
        </w:rPr>
        <w:t>міській П</w:t>
      </w:r>
      <w:r w:rsidRPr="00C04443">
        <w:rPr>
          <w:b/>
          <w:bCs/>
          <w:lang w:eastAsia="x-none"/>
        </w:rPr>
        <w:t>рограмі управління об’єктами комунальної власності територіальної громади м. Черкаси</w:t>
      </w:r>
      <w:r w:rsidRPr="00C04443">
        <w:rPr>
          <w:lang w:eastAsia="x-none"/>
        </w:rPr>
        <w:t>, затвердженої рішенням Черкаської міської ради від 08.12.2011 № 3-403 (зі змінами, головний розпорядник коштів – департамент економіки та розвитку і департамент архітектури, містобудування та інспектування</w:t>
      </w:r>
      <w:r w:rsidRPr="00C04443">
        <w:rPr>
          <w:b/>
          <w:bCs/>
          <w:i/>
          <w:iCs/>
          <w:lang w:eastAsia="x-none"/>
        </w:rPr>
        <w:t xml:space="preserve"> </w:t>
      </w:r>
      <w:r w:rsidRPr="00C04443">
        <w:rPr>
          <w:bCs/>
          <w:iCs/>
          <w:lang w:eastAsia="x-none"/>
        </w:rPr>
        <w:t>ЧМР</w:t>
      </w:r>
      <w:r w:rsidRPr="00C04443">
        <w:rPr>
          <w:lang w:eastAsia="x-none"/>
        </w:rPr>
        <w:t xml:space="preserve">), уточнені </w:t>
      </w:r>
      <w:r w:rsidRPr="00C04443">
        <w:rPr>
          <w:bCs/>
          <w:iCs/>
          <w:lang w:eastAsia="x-none"/>
        </w:rPr>
        <w:t xml:space="preserve">призначення </w:t>
      </w:r>
      <w:r w:rsidRPr="00C04443">
        <w:rPr>
          <w:lang w:eastAsia="x-none"/>
        </w:rPr>
        <w:t>на 2015 рік</w:t>
      </w:r>
      <w:r w:rsidRPr="00C04443">
        <w:rPr>
          <w:bCs/>
          <w:iCs/>
          <w:lang w:eastAsia="x-none"/>
        </w:rPr>
        <w:t xml:space="preserve"> становлять</w:t>
      </w:r>
      <w:r w:rsidRPr="00C04443">
        <w:rPr>
          <w:lang w:eastAsia="x-none"/>
        </w:rPr>
        <w:t xml:space="preserve"> 1961,2 тис.грн. Касові видатки склали 1242,3 тис.грн., або 63,3 відс. </w:t>
      </w:r>
      <w:r w:rsidRPr="00C04443">
        <w:rPr>
          <w:bCs/>
          <w:iCs/>
          <w:lang w:eastAsia="x-none"/>
        </w:rPr>
        <w:t xml:space="preserve">до уточненого річного плану. Кошти використані на: безповоротну фінансову підтримку КП «Черкасиінвестбуд» (на погашення заборгованості за електроенергію по приміщенню за адресою: м. Черкаси, вул. Благовісна, 170 – за попередні та поточний роки) – 161,4 тис.грн., проведення технічної інвентаризації, виготовлення технічних справ та паспортів – 25,6 тис.грн., виконання ремонтних робіт, усунення аварійних ситуацій – 66,6 тис.грн., послуги суб’єктів оціночної діяльності щодо незалежної оцінки – 95,0 тис.грн., </w:t>
      </w:r>
      <w:r w:rsidRPr="00C04443">
        <w:rPr>
          <w:lang w:eastAsia="x-none"/>
        </w:rPr>
        <w:t xml:space="preserve">страхування об’єктів – 12,8 тис.грн., відведення земельних ділянок, отримання кадастрових довідок – 0,6 тис.грн., інформаційне забезпечення, публікацію оголошень, реклама, інше – 15,9 тис.грн., створення, придбання та обслуговування програмного забезпечення – 2,6 тис.грн., послуги нотаріуса – 0,3 тис.грн., на оплату </w:t>
      </w:r>
      <w:r w:rsidRPr="00C04443">
        <w:rPr>
          <w:bCs/>
          <w:iCs/>
          <w:lang w:eastAsia="x-none"/>
        </w:rPr>
        <w:t>комунальних послуг та інших витрат, пов’язаних з експлуатацією адміністративних будівель та споруд по бул. Шевченка, 117 та бул. Шевченка, 307 – 724,2 тис.грн</w:t>
      </w:r>
      <w:r w:rsidRPr="00C04443">
        <w:rPr>
          <w:bCs/>
          <w:iCs/>
          <w:lang w:val="ru-RU" w:eastAsia="x-none"/>
        </w:rPr>
        <w:t>. (з них енергоносії – 528,2 тис.грн.)</w:t>
      </w:r>
      <w:r w:rsidRPr="00C04443">
        <w:rPr>
          <w:bCs/>
          <w:iCs/>
          <w:lang w:eastAsia="x-none"/>
        </w:rPr>
        <w:t xml:space="preserve"> та на погашення кредиторської заборгованості за 2014 рік – 137,3 тис.грн.;</w:t>
      </w:r>
    </w:p>
    <w:p w:rsidR="00C04443" w:rsidRPr="00C04443" w:rsidRDefault="00C04443" w:rsidP="00C04443">
      <w:pPr>
        <w:ind w:firstLine="540"/>
        <w:jc w:val="both"/>
        <w:rPr>
          <w:lang w:eastAsia="x-none"/>
        </w:rPr>
      </w:pPr>
      <w:r w:rsidRPr="00C04443">
        <w:rPr>
          <w:lang w:eastAsia="x-none"/>
        </w:rPr>
        <w:t xml:space="preserve">- по </w:t>
      </w:r>
      <w:r w:rsidRPr="00C04443">
        <w:rPr>
          <w:b/>
          <w:bCs/>
          <w:lang w:eastAsia="x-none"/>
        </w:rPr>
        <w:t>Програмі сприяння розвитку підприємництва у м. Черкаси</w:t>
      </w:r>
      <w:r w:rsidRPr="00C04443">
        <w:rPr>
          <w:lang w:eastAsia="x-none"/>
        </w:rPr>
        <w:t>, затвердженої рішенням Черкаської міської ради від 10.06.2010 № 5-662 (зі змінами, головний розпорядник коштів – департамент економіки та розвитку</w:t>
      </w:r>
      <w:r w:rsidRPr="00C04443">
        <w:rPr>
          <w:b/>
          <w:bCs/>
          <w:i/>
          <w:iCs/>
          <w:lang w:eastAsia="x-none"/>
        </w:rPr>
        <w:t xml:space="preserve"> </w:t>
      </w:r>
      <w:r w:rsidRPr="00C04443">
        <w:rPr>
          <w:bCs/>
          <w:iCs/>
          <w:lang w:eastAsia="x-none"/>
        </w:rPr>
        <w:t>ЧМР</w:t>
      </w:r>
      <w:r w:rsidRPr="00C04443">
        <w:rPr>
          <w:lang w:eastAsia="x-none"/>
        </w:rPr>
        <w:t xml:space="preserve">), </w:t>
      </w:r>
      <w:r w:rsidRPr="00C04443">
        <w:rPr>
          <w:bCs/>
          <w:iCs/>
          <w:lang w:eastAsia="x-none"/>
        </w:rPr>
        <w:t xml:space="preserve">призначення </w:t>
      </w:r>
      <w:r w:rsidRPr="00C04443">
        <w:rPr>
          <w:lang w:eastAsia="x-none"/>
        </w:rPr>
        <w:t>на 2015 рік</w:t>
      </w:r>
      <w:r w:rsidRPr="00C04443">
        <w:rPr>
          <w:bCs/>
          <w:iCs/>
          <w:lang w:eastAsia="x-none"/>
        </w:rPr>
        <w:t xml:space="preserve">  становлять</w:t>
      </w:r>
      <w:r w:rsidRPr="00C04443">
        <w:rPr>
          <w:lang w:eastAsia="x-none"/>
        </w:rPr>
        <w:t xml:space="preserve"> 36,0 тис.грн. Касові видатки склали</w:t>
      </w:r>
      <w:r w:rsidRPr="00C04443">
        <w:rPr>
          <w:bCs/>
          <w:iCs/>
          <w:lang w:eastAsia="x-none"/>
        </w:rPr>
        <w:t xml:space="preserve"> 36,0 тис.грн., або 100 відс. </w:t>
      </w:r>
      <w:r w:rsidRPr="00C04443">
        <w:rPr>
          <w:lang w:eastAsia="x-none"/>
        </w:rPr>
        <w:t xml:space="preserve">до річних призначень. </w:t>
      </w:r>
      <w:r w:rsidRPr="00C04443">
        <w:rPr>
          <w:bCs/>
          <w:iCs/>
          <w:lang w:eastAsia="x-none"/>
        </w:rPr>
        <w:t>Кошти використані на погашення кредиторської заборгованості за минулий рік (оплата послуг з виготовлення презентаційно-інформаційної продукції)</w:t>
      </w:r>
      <w:r w:rsidRPr="00C04443">
        <w:rPr>
          <w:lang w:eastAsia="x-none"/>
        </w:rPr>
        <w:t>;</w:t>
      </w:r>
    </w:p>
    <w:p w:rsidR="00C04443" w:rsidRPr="00C04443" w:rsidRDefault="00C04443" w:rsidP="00C04443">
      <w:pPr>
        <w:ind w:firstLine="540"/>
        <w:jc w:val="both"/>
        <w:rPr>
          <w:lang w:eastAsia="x-none"/>
        </w:rPr>
      </w:pPr>
      <w:r w:rsidRPr="00C04443">
        <w:rPr>
          <w:lang w:eastAsia="x-none"/>
        </w:rPr>
        <w:t xml:space="preserve">- по </w:t>
      </w:r>
      <w:r w:rsidRPr="00C04443">
        <w:rPr>
          <w:b/>
          <w:bCs/>
          <w:lang w:eastAsia="x-none"/>
        </w:rPr>
        <w:t>Програмі заходів щодо розроблення стратегічного плану розвитку територіальної громади міста Черкаси</w:t>
      </w:r>
      <w:r w:rsidRPr="00C04443">
        <w:rPr>
          <w:lang w:eastAsia="x-none"/>
        </w:rPr>
        <w:t>, затвердженої рішенням Черкаської міської ради від 17.02.2009 № 4-969 (зі змінами, головний розпорядник коштів – департамент економіки та розвитку</w:t>
      </w:r>
      <w:r w:rsidRPr="00C04443">
        <w:rPr>
          <w:b/>
          <w:bCs/>
          <w:i/>
          <w:iCs/>
          <w:lang w:eastAsia="x-none"/>
        </w:rPr>
        <w:t xml:space="preserve"> </w:t>
      </w:r>
      <w:r w:rsidRPr="00C04443">
        <w:rPr>
          <w:bCs/>
          <w:iCs/>
          <w:lang w:eastAsia="x-none"/>
        </w:rPr>
        <w:t>ЧМР</w:t>
      </w:r>
      <w:r w:rsidRPr="00C04443">
        <w:rPr>
          <w:lang w:eastAsia="x-none"/>
        </w:rPr>
        <w:t xml:space="preserve">), </w:t>
      </w:r>
      <w:r w:rsidRPr="00C04443">
        <w:rPr>
          <w:bCs/>
          <w:iCs/>
          <w:lang w:eastAsia="x-none"/>
        </w:rPr>
        <w:t xml:space="preserve">призначення </w:t>
      </w:r>
      <w:r w:rsidRPr="00C04443">
        <w:rPr>
          <w:lang w:eastAsia="x-none"/>
        </w:rPr>
        <w:t>на 2015 рік</w:t>
      </w:r>
      <w:r w:rsidRPr="00C04443">
        <w:rPr>
          <w:bCs/>
          <w:iCs/>
          <w:lang w:eastAsia="x-none"/>
        </w:rPr>
        <w:t xml:space="preserve"> становлять</w:t>
      </w:r>
      <w:r w:rsidRPr="00C04443">
        <w:rPr>
          <w:lang w:eastAsia="x-none"/>
        </w:rPr>
        <w:t xml:space="preserve"> 129,9 тис.грн. Касові видатки склали</w:t>
      </w:r>
      <w:r w:rsidRPr="00C04443">
        <w:rPr>
          <w:bCs/>
          <w:iCs/>
          <w:lang w:eastAsia="x-none"/>
        </w:rPr>
        <w:t xml:space="preserve"> 129,9 тис.грн., або 100 відс. до річних призначень. Кошти використані на погашення кредиторської заборгованості за минулий рік (оплата послуг з проведення соціологічних досліджень думки громадян щодо розвитку міста)</w:t>
      </w:r>
      <w:r w:rsidRPr="00C04443">
        <w:rPr>
          <w:lang w:eastAsia="x-none"/>
        </w:rPr>
        <w:t>;</w:t>
      </w:r>
    </w:p>
    <w:p w:rsidR="00C04443" w:rsidRPr="00C04443" w:rsidRDefault="00C04443" w:rsidP="00C04443">
      <w:pPr>
        <w:ind w:firstLine="540"/>
        <w:jc w:val="both"/>
      </w:pPr>
      <w:r w:rsidRPr="00C04443">
        <w:t>по</w:t>
      </w:r>
      <w:r w:rsidRPr="00C04443">
        <w:rPr>
          <w:b/>
        </w:rPr>
        <w:t xml:space="preserve"> Програмі зайнятості населення м. Черкаси</w:t>
      </w:r>
      <w:r w:rsidRPr="00C04443">
        <w:t>, затвердженої рішенням міської ради від 03.12.2013 № 4-281 (із змінами, головні розпорядники коштів – департамент економіки та розвитку та департамент соціальної політики</w:t>
      </w:r>
      <w:r w:rsidRPr="00C04443">
        <w:rPr>
          <w:b/>
          <w:bCs/>
          <w:i/>
          <w:iCs/>
        </w:rPr>
        <w:t xml:space="preserve"> </w:t>
      </w:r>
      <w:r w:rsidRPr="00C04443">
        <w:rPr>
          <w:bCs/>
          <w:iCs/>
        </w:rPr>
        <w:t>ЧМР</w:t>
      </w:r>
      <w:r w:rsidRPr="00C04443">
        <w:t xml:space="preserve">), </w:t>
      </w:r>
      <w:r w:rsidRPr="00C04443">
        <w:rPr>
          <w:bCs/>
          <w:iCs/>
        </w:rPr>
        <w:t>призначення на 2015 рік становлять</w:t>
      </w:r>
      <w:r w:rsidRPr="00C04443">
        <w:t xml:space="preserve"> 650,0 тис.грн. Касові видатки склали 642,1 тис.грн., або 98,8 відс. </w:t>
      </w:r>
      <w:r w:rsidRPr="00C04443">
        <w:rPr>
          <w:bCs/>
          <w:iCs/>
        </w:rPr>
        <w:t>до уточненого річного плану</w:t>
      </w:r>
      <w:r w:rsidRPr="00C04443">
        <w:t>. Кошти використані на фінансування організації громадських робіт в місті;</w:t>
      </w:r>
    </w:p>
    <w:p w:rsidR="00C04443" w:rsidRPr="00C04443" w:rsidRDefault="00C04443" w:rsidP="00C04443">
      <w:pPr>
        <w:ind w:firstLine="540"/>
        <w:jc w:val="both"/>
      </w:pPr>
      <w:r w:rsidRPr="00C04443">
        <w:t>- по</w:t>
      </w:r>
      <w:r w:rsidRPr="00C04443">
        <w:rPr>
          <w:b/>
        </w:rPr>
        <w:t xml:space="preserve"> Програмі підвищення енергоефективності та зменшення споживання енергоресурсів у місті Черкасах</w:t>
      </w:r>
      <w:r w:rsidRPr="00C04443">
        <w:t xml:space="preserve">, затвердженої рішенням міської ради від 08.11.2012 року </w:t>
      </w:r>
      <w:r w:rsidRPr="00C04443">
        <w:lastRenderedPageBreak/>
        <w:t>№ 3-1338 (зі змінами, головний розпорядник коштів – департамент економіки та розвитку</w:t>
      </w:r>
      <w:r w:rsidRPr="00C04443">
        <w:rPr>
          <w:b/>
          <w:bCs/>
          <w:i/>
          <w:iCs/>
        </w:rPr>
        <w:t xml:space="preserve"> </w:t>
      </w:r>
      <w:r w:rsidRPr="00C04443">
        <w:rPr>
          <w:bCs/>
          <w:iCs/>
        </w:rPr>
        <w:t>ЧМР</w:t>
      </w:r>
      <w:r w:rsidRPr="00C04443">
        <w:t xml:space="preserve">), </w:t>
      </w:r>
      <w:r w:rsidRPr="00C04443">
        <w:rPr>
          <w:bCs/>
          <w:iCs/>
        </w:rPr>
        <w:t>річні призначення становлять</w:t>
      </w:r>
      <w:r w:rsidRPr="00C04443">
        <w:t xml:space="preserve"> 220,0 тис.грн. Касові видатки склали 69,7 тис.грн., або 31,7 відс. </w:t>
      </w:r>
      <w:r w:rsidRPr="00C04443">
        <w:rPr>
          <w:bCs/>
          <w:iCs/>
        </w:rPr>
        <w:t>до уточненого річного плану</w:t>
      </w:r>
      <w:r w:rsidRPr="00C04443">
        <w:t>. Кошти використані на: сплату відсотків за кредитами на цілі, передбачені програмою – 0,1 тис.грн., обслуговування програмного забезпечення – 39,6 тис.грн., проведення Місцевого Дня Енергії у місті – 30,0 тис.грн.;</w:t>
      </w:r>
    </w:p>
    <w:p w:rsidR="00C04443" w:rsidRPr="00C04443" w:rsidRDefault="00C04443" w:rsidP="00C04443">
      <w:pPr>
        <w:widowControl w:val="0"/>
        <w:ind w:firstLine="540"/>
        <w:jc w:val="both"/>
        <w:rPr>
          <w:bCs/>
          <w:iCs/>
        </w:rPr>
      </w:pPr>
      <w:r w:rsidRPr="00C04443">
        <w:t xml:space="preserve">- по </w:t>
      </w:r>
      <w:r w:rsidRPr="00C04443">
        <w:rPr>
          <w:b/>
          <w:bCs/>
        </w:rPr>
        <w:t>Програмі здійснення заходів, що не могли бути передбачені під час складання бюджету та порядок надання матеріальної допомоги громадянам міста</w:t>
      </w:r>
      <w:r w:rsidRPr="00C04443">
        <w:t xml:space="preserve">, затвердженої рішенням Черкаської міської ради від 17.03.2015 № 2-1096 (головний розпорядник коштів – департамент організаційного забезпечення ЧМР), уточнені призначення на 2015 рік становлять 370,2 тис.грн. Касові видатки склали  307,8 тис.грн., або 83,1 відc. до уточненого річного плану. </w:t>
      </w:r>
      <w:r w:rsidRPr="00C04443">
        <w:rPr>
          <w:bCs/>
          <w:iCs/>
        </w:rPr>
        <w:t xml:space="preserve">Кошти використані на: обов'язкові платежі – 107,8 тис.грн. (сплата членських внесків Асоціації міст України – 85,8 тис.грн. та Асоціації енергоефективні міста України – 22,0 тис.грн.), </w:t>
      </w:r>
      <w:r w:rsidRPr="00C04443">
        <w:rPr>
          <w:bCs/>
          <w:iCs/>
          <w:shd w:val="clear" w:color="auto" w:fill="FFFFFF"/>
        </w:rPr>
        <w:t xml:space="preserve">фонд міського голови – 102,7 тис.грн., фонд депутатів міської ради – 11,2 тис.грн. </w:t>
      </w:r>
      <w:r w:rsidRPr="00C04443">
        <w:t>та на погашення кредиторської заборгованості за 2014 рік – 86,1 тис.грн.;</w:t>
      </w:r>
    </w:p>
    <w:p w:rsidR="00C04443" w:rsidRPr="00C04443" w:rsidRDefault="00C04443" w:rsidP="00C04443">
      <w:pPr>
        <w:ind w:firstLine="540"/>
        <w:jc w:val="both"/>
      </w:pPr>
      <w:r w:rsidRPr="00C04443">
        <w:rPr>
          <w:b/>
          <w:bCs/>
        </w:rPr>
        <w:t xml:space="preserve">- </w:t>
      </w:r>
      <w:r w:rsidRPr="00C04443">
        <w:rPr>
          <w:bCs/>
        </w:rPr>
        <w:t xml:space="preserve">по </w:t>
      </w:r>
      <w:r w:rsidRPr="00C04443">
        <w:rPr>
          <w:b/>
          <w:bCs/>
        </w:rPr>
        <w:t>Програмі «Призовна дільниця»</w:t>
      </w:r>
      <w:r w:rsidRPr="00C04443">
        <w:t xml:space="preserve">, затвердженої рішенням Черкаської міської ради від 20.10.2011 № 3-233 (головний розпорядник коштів - </w:t>
      </w:r>
      <w:r w:rsidRPr="00C04443">
        <w:rPr>
          <w:bCs/>
          <w:iCs/>
        </w:rPr>
        <w:t>департамент організаційного забезпечення ЧМР</w:t>
      </w:r>
      <w:r w:rsidRPr="00C04443">
        <w:t xml:space="preserve">), </w:t>
      </w:r>
      <w:r w:rsidRPr="00C04443">
        <w:rPr>
          <w:bCs/>
          <w:iCs/>
        </w:rPr>
        <w:t xml:space="preserve">уточнені призначення </w:t>
      </w:r>
      <w:r w:rsidRPr="00C04443">
        <w:t>на 2015 рік</w:t>
      </w:r>
      <w:r w:rsidRPr="00C04443">
        <w:rPr>
          <w:bCs/>
          <w:iCs/>
        </w:rPr>
        <w:t xml:space="preserve"> становлять</w:t>
      </w:r>
      <w:r w:rsidRPr="00C04443">
        <w:t xml:space="preserve"> 241,5 тис.грн. </w:t>
      </w:r>
      <w:r w:rsidRPr="00C04443">
        <w:rPr>
          <w:bCs/>
          <w:iCs/>
        </w:rPr>
        <w:t>К</w:t>
      </w:r>
      <w:r w:rsidRPr="00C04443">
        <w:t xml:space="preserve">асові видатки склали 241,0 тис.грн., або 99,8 відс. </w:t>
      </w:r>
      <w:r w:rsidRPr="00C04443">
        <w:rPr>
          <w:bCs/>
          <w:iCs/>
        </w:rPr>
        <w:t>до уточненого річного плану. Кошти використані на: заробітну плату і нарахування – 187,4 тис.грн., оренду автомобіля – 9,6 тис.грн., придбання поштових конвертів з марками – 8,0 тис.грн., придбання запчастин та паливо-мастильних матеріалів – 16,5 тис.грн., телекомунікаційні послуги, абонплату – 3,3 тис.грн., придбання канцелярських, господарських товарів та інші видатки – 11,4 тис.грн., та погашення кредиторської заборгованості за 2014 рік – 4,8 тис.грн.;</w:t>
      </w:r>
    </w:p>
    <w:p w:rsidR="00C04443" w:rsidRPr="00C04443" w:rsidRDefault="00C04443" w:rsidP="00C04443">
      <w:pPr>
        <w:widowControl w:val="0"/>
        <w:ind w:firstLine="540"/>
        <w:jc w:val="both"/>
        <w:rPr>
          <w:highlight w:val="yellow"/>
        </w:rPr>
      </w:pPr>
      <w:r w:rsidRPr="00C04443">
        <w:t xml:space="preserve">- по </w:t>
      </w:r>
      <w:r w:rsidRPr="00C04443">
        <w:rPr>
          <w:b/>
          <w:bCs/>
        </w:rPr>
        <w:t>Програмі сприяння здійсненню  органами самоорганізації населення м. Черкаси повноважень</w:t>
      </w:r>
      <w:r w:rsidRPr="00C04443">
        <w:t xml:space="preserve">, затвердженої рішенням Черкаської міської ради від 18.02.2014 № 4-457 (головний розпорядник коштів – департамент організаційного забезпечення ЧМР), призначення </w:t>
      </w:r>
      <w:r w:rsidRPr="00C04443">
        <w:rPr>
          <w:bCs/>
          <w:iCs/>
        </w:rPr>
        <w:t>на 2015 рік</w:t>
      </w:r>
      <w:r w:rsidRPr="00C04443">
        <w:t xml:space="preserve"> становлять 1532,5 тис.грн. Касові видатки склали 1387,5 тис.грн., або 90,5 відс. до річного плану. Кошти використані на: заробітну плату та нарахування головам та секретарям комітетів самоорганізації населення – 1155,8 тис.грн.,  оплату спожитих енергоносіїв та комунальних послуг – 131,0 тис.грн., придбання </w:t>
      </w:r>
      <w:r w:rsidRPr="00C04443">
        <w:rPr>
          <w:bCs/>
          <w:iCs/>
        </w:rPr>
        <w:t>предметів, матеріалів, обладнання та інвентарю (господарські товари, канцтовари тощо) – 14,5 тис.грн., оплату послуг зі страхування приміщень, банківські послуги – 12,2 тис.грн., послуги зв'язку – 3,7 тис.грн., оренду приміщень – 2,2 тис.грн., утримання дитячих та спортивних майданчиків – 20,1 тис.грн., проведення поточних ремонтів приміщень комітетів самоорганізації населення – 13,2 тис.грн.,</w:t>
      </w:r>
      <w:r w:rsidRPr="00C04443">
        <w:rPr>
          <w:b/>
          <w:bCs/>
          <w:i/>
          <w:iCs/>
        </w:rPr>
        <w:t xml:space="preserve"> </w:t>
      </w:r>
      <w:r w:rsidRPr="00C04443">
        <w:rPr>
          <w:bCs/>
          <w:iCs/>
        </w:rPr>
        <w:t>оплату послуг з утримання будинків – 25,0 тис.грн.,</w:t>
      </w:r>
      <w:r w:rsidRPr="00C04443">
        <w:rPr>
          <w:b/>
          <w:bCs/>
          <w:i/>
          <w:iCs/>
        </w:rPr>
        <w:t xml:space="preserve"> </w:t>
      </w:r>
      <w:r w:rsidRPr="00C04443">
        <w:rPr>
          <w:bCs/>
          <w:iCs/>
        </w:rPr>
        <w:t xml:space="preserve">придбання інвентарю для гуртків – 6,5 тис.грн., </w:t>
      </w:r>
      <w:r w:rsidRPr="00C04443">
        <w:t>оплату інших послуг – 3,3 тис.грн.;</w:t>
      </w:r>
    </w:p>
    <w:p w:rsidR="00C04443" w:rsidRPr="00C04443" w:rsidRDefault="00C04443" w:rsidP="00C04443">
      <w:pPr>
        <w:ind w:firstLine="540"/>
        <w:jc w:val="both"/>
      </w:pPr>
      <w:r w:rsidRPr="00C04443">
        <w:rPr>
          <w:bCs/>
          <w:iCs/>
        </w:rPr>
        <w:t xml:space="preserve">- по </w:t>
      </w:r>
      <w:r w:rsidRPr="00C04443">
        <w:rPr>
          <w:b/>
          <w:iCs/>
        </w:rPr>
        <w:t>Програмі забезпечення правопорядку в м. Черкаси</w:t>
      </w:r>
      <w:r w:rsidRPr="00C04443">
        <w:rPr>
          <w:bCs/>
          <w:iCs/>
        </w:rPr>
        <w:t xml:space="preserve">, затвердженої рішенням Черкаської міської ради від 29.12.2011 № 3-521 (зі змінами, головний розпорядник коштів – департамент організаційного забезпечення ЧМР), уточнені призначення </w:t>
      </w:r>
      <w:r w:rsidRPr="00C04443">
        <w:t>на 2015 рік</w:t>
      </w:r>
      <w:r w:rsidRPr="00C04443">
        <w:rPr>
          <w:bCs/>
          <w:iCs/>
        </w:rPr>
        <w:t xml:space="preserve"> становлять 68,7 тис.грн.</w:t>
      </w:r>
      <w:r w:rsidRPr="00C04443">
        <w:t xml:space="preserve"> Касові видатки склали 36,4 тис.грн., або 53,1 відс. до уточненого плану. </w:t>
      </w:r>
      <w:r w:rsidRPr="00C04443">
        <w:rPr>
          <w:bCs/>
          <w:iCs/>
        </w:rPr>
        <w:t xml:space="preserve">Кошти використані на: </w:t>
      </w:r>
      <w:r w:rsidRPr="00C04443">
        <w:t xml:space="preserve">обслуговування  камер відео спостереження – 23,6 тис.грн., та на </w:t>
      </w:r>
      <w:r w:rsidRPr="00C04443">
        <w:rPr>
          <w:bCs/>
          <w:iCs/>
        </w:rPr>
        <w:t>погашення кредиторської заборгованості за 2014 рік – 12,8 тис.грн.;</w:t>
      </w:r>
    </w:p>
    <w:p w:rsidR="00C04443" w:rsidRPr="00C04443" w:rsidRDefault="00C04443" w:rsidP="00C04443">
      <w:pPr>
        <w:ind w:firstLine="540"/>
        <w:jc w:val="both"/>
        <w:rPr>
          <w:highlight w:val="yellow"/>
          <w:lang w:eastAsia="x-none"/>
        </w:rPr>
      </w:pPr>
      <w:r w:rsidRPr="00C04443">
        <w:rPr>
          <w:lang w:eastAsia="x-none"/>
        </w:rPr>
        <w:t xml:space="preserve">- по </w:t>
      </w:r>
      <w:r w:rsidRPr="00C04443">
        <w:rPr>
          <w:b/>
          <w:lang w:eastAsia="x-none"/>
        </w:rPr>
        <w:t>Програмі підвищення кваліфікації кадрів органів місцевого самоврядування  м. Черкаси</w:t>
      </w:r>
      <w:r w:rsidRPr="00C04443">
        <w:rPr>
          <w:lang w:eastAsia="x-none"/>
        </w:rPr>
        <w:t xml:space="preserve"> затвердженої рішенням міської ради від 29.12.2011 № 3-507 із змінами від 20.06.2013 № 3-1694 (головний розпорядник коштів – департамент організаційного забезпечення ЧМР), призначення на 2015 рік становлять 2,0 тис.грн. Касові видатки склали</w:t>
      </w:r>
      <w:r w:rsidRPr="00C04443">
        <w:rPr>
          <w:bCs/>
          <w:iCs/>
          <w:lang w:eastAsia="x-none"/>
        </w:rPr>
        <w:t xml:space="preserve"> 2,0 тис.грн., або 100 відс. </w:t>
      </w:r>
      <w:r w:rsidRPr="00C04443">
        <w:rPr>
          <w:lang w:eastAsia="x-none"/>
        </w:rPr>
        <w:t xml:space="preserve">до річних призначень. </w:t>
      </w:r>
      <w:r w:rsidRPr="00C04443">
        <w:rPr>
          <w:bCs/>
          <w:iCs/>
          <w:lang w:eastAsia="x-none"/>
        </w:rPr>
        <w:t>Кошти використані на погашення кредиторської заборгованості за 2014 рік (курси з англійської мови)</w:t>
      </w:r>
      <w:r w:rsidRPr="00C04443">
        <w:rPr>
          <w:lang w:eastAsia="x-none"/>
        </w:rPr>
        <w:t>;</w:t>
      </w:r>
    </w:p>
    <w:p w:rsidR="00C04443" w:rsidRPr="00C04443" w:rsidRDefault="00C04443" w:rsidP="00C04443">
      <w:pPr>
        <w:ind w:firstLine="540"/>
        <w:jc w:val="both"/>
        <w:rPr>
          <w:lang w:eastAsia="x-none"/>
        </w:rPr>
      </w:pPr>
      <w:r w:rsidRPr="00C04443">
        <w:rPr>
          <w:lang w:eastAsia="x-none"/>
        </w:rPr>
        <w:t xml:space="preserve">- по </w:t>
      </w:r>
      <w:r w:rsidRPr="00C04443">
        <w:rPr>
          <w:b/>
          <w:lang w:eastAsia="x-none"/>
        </w:rPr>
        <w:t>Програмі нагородження громадян та трудових колективів за заслуги перед м. Черкаси відзнаками Черкаської міської ради, її виконавчого комітету та міського голови</w:t>
      </w:r>
      <w:r w:rsidRPr="00C04443">
        <w:rPr>
          <w:lang w:eastAsia="x-none"/>
        </w:rPr>
        <w:t>, затвердженої рішенням міської ради від 18.02.2014 № 4-474 (</w:t>
      </w:r>
      <w:r w:rsidRPr="00C04443">
        <w:rPr>
          <w:bCs/>
          <w:iCs/>
          <w:lang w:eastAsia="x-none"/>
        </w:rPr>
        <w:t>зі змінами,</w:t>
      </w:r>
      <w:r w:rsidRPr="00C04443">
        <w:rPr>
          <w:lang w:eastAsia="x-none"/>
        </w:rPr>
        <w:t xml:space="preserve"> головний розпорядник коштів – департамент організаційного забезпечення ЧМР), уточнені призначення на 2015 рік становлять 905,7 тис.грн. Касові видатки склали 905,6 тис.грн., або 100 відс. до уточненого плану. </w:t>
      </w:r>
      <w:r w:rsidRPr="00C04443">
        <w:rPr>
          <w:bCs/>
          <w:iCs/>
          <w:lang w:eastAsia="x-none"/>
        </w:rPr>
        <w:t xml:space="preserve">Кошти використані на: </w:t>
      </w:r>
      <w:r w:rsidRPr="00C04443">
        <w:rPr>
          <w:lang w:eastAsia="x-none"/>
        </w:rPr>
        <w:t xml:space="preserve">виплату пожиттєвої щомісячної </w:t>
      </w:r>
      <w:r w:rsidRPr="00C04443">
        <w:rPr>
          <w:lang w:eastAsia="x-none"/>
        </w:rPr>
        <w:lastRenderedPageBreak/>
        <w:t>грошової винагороди у розмірі 1 мінімальної з/п особі, якій присвоєно почесне звання "Почесний громадянин міста Черкаси" – 30,5 тис.грн., виплату грошової премії особі, яка нагороджена пам'ятним знаком "За заслуги перед містом Черкаси" – 752,1 тис.грн., придбання квітів – 22,5 тис.грн., придбання рамок для грамот та подяк – 36,2 тис.грн., придбання нагородних бланків – 9,8 тис.грн., виготовлення фотознімку особи, нагородженої пам'ятним знаком "За заслуги перед містом Черкаси"  для розміщення в Галереї слави м. Черкаси – 26,6 тис.грн. та на погашення кредиторської заборгованості за 2014 рік – 27,9 тис.грн.;</w:t>
      </w:r>
    </w:p>
    <w:p w:rsidR="00C04443" w:rsidRPr="00C04443" w:rsidRDefault="00C04443" w:rsidP="00C04443">
      <w:pPr>
        <w:ind w:firstLine="540"/>
        <w:jc w:val="both"/>
        <w:rPr>
          <w:lang w:eastAsia="x-none"/>
        </w:rPr>
      </w:pPr>
      <w:r w:rsidRPr="00C04443">
        <w:rPr>
          <w:b/>
          <w:lang w:eastAsia="x-none"/>
        </w:rPr>
        <w:t xml:space="preserve">- </w:t>
      </w:r>
      <w:r w:rsidRPr="00C04443">
        <w:rPr>
          <w:lang w:eastAsia="x-none"/>
        </w:rPr>
        <w:t xml:space="preserve">по </w:t>
      </w:r>
      <w:r w:rsidRPr="00C04443">
        <w:rPr>
          <w:b/>
          <w:lang w:eastAsia="x-none"/>
        </w:rPr>
        <w:t xml:space="preserve">Програмі підтримки обороноздатності м. Черкаси, </w:t>
      </w:r>
      <w:r w:rsidRPr="00C04443">
        <w:rPr>
          <w:lang w:eastAsia="x-none"/>
        </w:rPr>
        <w:t>затвердженої рішенням Черкаської міської ради від 22.01.2015 № 2-677 (зі змінами, головний розпорядник коштів – департамент організаційного забезпечення ЧМР), уточнені призначення на 2015 рік становлять 372,8 тис.грн. Касові видатки склали 333,0 тис.грн., або 89,3 відс. до уточненого плану.</w:t>
      </w:r>
      <w:r w:rsidRPr="00C04443">
        <w:rPr>
          <w:bCs/>
          <w:iCs/>
          <w:lang w:eastAsia="x-none"/>
        </w:rPr>
        <w:t xml:space="preserve"> Кошти використані на: проведення навчальних заходів батальйону територіальної оборони – 39,2 тис.грн., оплату спожитих енергоносіїв та комунальних послуг – 132,9 тис.грн., оплату послуг (крім комунальних) – 160,9 тис.грн.</w:t>
      </w:r>
      <w:r w:rsidRPr="00C04443">
        <w:rPr>
          <w:lang w:eastAsia="x-none"/>
        </w:rPr>
        <w:t>;</w:t>
      </w:r>
    </w:p>
    <w:p w:rsidR="00C04443" w:rsidRPr="00C04443" w:rsidRDefault="00C04443" w:rsidP="00C04443">
      <w:pPr>
        <w:ind w:firstLine="540"/>
        <w:jc w:val="both"/>
      </w:pPr>
      <w:r w:rsidRPr="00C04443">
        <w:rPr>
          <w:b/>
          <w:i/>
        </w:rPr>
        <w:t xml:space="preserve">- </w:t>
      </w:r>
      <w:r w:rsidRPr="00C04443">
        <w:rPr>
          <w:bCs/>
          <w:iCs/>
        </w:rPr>
        <w:t xml:space="preserve">по </w:t>
      </w:r>
      <w:r w:rsidRPr="00C04443">
        <w:rPr>
          <w:b/>
          <w:bCs/>
          <w:iCs/>
        </w:rPr>
        <w:t>Програмі розвитку земельних відносин в м. Черкаси,</w:t>
      </w:r>
      <w:r w:rsidRPr="00C04443">
        <w:rPr>
          <w:bCs/>
          <w:iCs/>
        </w:rPr>
        <w:t xml:space="preserve"> затвердженої рішенням Черкаської міської ради від 27.12.2012 № 3-1496 (зі змінами, головний розпорядник коштів – департамент архітектури, містобудування та інспектування ЧМР), уточнені призначення на 2015 рік становлять 1718,5 тис.грн.</w:t>
      </w:r>
      <w:r w:rsidRPr="00C04443">
        <w:t xml:space="preserve"> Касові видатки склали 457,3 тис. грн. або 26,6 відс. до уточненого річного плану. Кошти використані на: планове оновлення ортофотопланів м. Черкаси та створення цифрової моделі рельєфу (ЦМР) м. Черкас в перспективних межах генерального плану – 198,7 тис.грн., підготовку та перепідготовку кадрів – 9,0 тис.грн., та на </w:t>
      </w:r>
      <w:r w:rsidRPr="00C04443">
        <w:rPr>
          <w:bCs/>
          <w:iCs/>
        </w:rPr>
        <w:t>погашення кредиторської заборгованості за 2014 рік – 249,6 тис.грн.;</w:t>
      </w:r>
    </w:p>
    <w:p w:rsidR="00C04443" w:rsidRPr="00C04443" w:rsidRDefault="00C04443" w:rsidP="00C04443">
      <w:pPr>
        <w:ind w:firstLine="540"/>
        <w:jc w:val="both"/>
        <w:rPr>
          <w:bCs/>
          <w:iCs/>
        </w:rPr>
      </w:pPr>
      <w:r w:rsidRPr="00C04443">
        <w:t>- по</w:t>
      </w:r>
      <w:r w:rsidRPr="00C04443">
        <w:rPr>
          <w:b/>
        </w:rPr>
        <w:t xml:space="preserve"> Програмі розвитку дизайну міського середовища та зовнішньої реклами у м. Черкаси,</w:t>
      </w:r>
      <w:r w:rsidRPr="00C04443">
        <w:t xml:space="preserve"> затвердженої рішенням міської ради від 13.12.2012 № 3-1416 (зі змінами, головний розпорядник коштів – департамент архітектури, містобудування та інспектування ЧМР) </w:t>
      </w:r>
      <w:r w:rsidRPr="00C04443">
        <w:rPr>
          <w:bCs/>
          <w:iCs/>
        </w:rPr>
        <w:t xml:space="preserve">призначення </w:t>
      </w:r>
      <w:r w:rsidRPr="00C04443">
        <w:t>на 2015 рік</w:t>
      </w:r>
      <w:r w:rsidRPr="00C04443">
        <w:rPr>
          <w:bCs/>
          <w:iCs/>
        </w:rPr>
        <w:t xml:space="preserve"> становлять</w:t>
      </w:r>
      <w:r w:rsidRPr="00C04443">
        <w:t xml:space="preserve"> 245,2 тис.грн. Касові видатки склали 145,4 тис.грн., або 59,3 відс. </w:t>
      </w:r>
      <w:r w:rsidRPr="00C04443">
        <w:rPr>
          <w:bCs/>
          <w:iCs/>
        </w:rPr>
        <w:t xml:space="preserve">до річного плану. </w:t>
      </w:r>
      <w:r w:rsidRPr="00C04443">
        <w:t>Кошти використані на: розробку та виготовлення збірників, брошур, буклетів, методичних рекомендацій в напрямках: дизайн, реклама, благоустрій, озеленення, тимчасові споруди, малі архітектурні форми – 20,0 тис.грн., проведення конкурсів та виставок у напрямку дизайну міського середовища та реклами – 63,8 тис.грн., проведення з’їздів "круглих столів", тощо на тему ефективної організації дизайну міського середовища та реклами – 40,0 тис.грн., розробку проектів, схем благоустрою, озеленення та утримання територій, дизайн-проектів з подальшою передачею розроблених проектів балансоутримувачам територій для їх реалізації – 2,5 тис.грн., дизайн-оформлення фасадів будівель та територій загального користування засобами зовнішнього освітлення та елементами благоустрою – 19,1 тис.грн.</w:t>
      </w:r>
      <w:r w:rsidRPr="00C04443">
        <w:rPr>
          <w:bCs/>
          <w:iCs/>
        </w:rPr>
        <w:t>;</w:t>
      </w:r>
    </w:p>
    <w:p w:rsidR="00C04443" w:rsidRPr="00C04443" w:rsidRDefault="00C04443" w:rsidP="00C04443">
      <w:pPr>
        <w:ind w:firstLine="540"/>
        <w:jc w:val="both"/>
        <w:rPr>
          <w:lang w:eastAsia="x-none"/>
        </w:rPr>
      </w:pPr>
      <w:r w:rsidRPr="00C04443">
        <w:rPr>
          <w:lang w:eastAsia="x-none"/>
        </w:rPr>
        <w:t xml:space="preserve">- по </w:t>
      </w:r>
      <w:r w:rsidRPr="00C04443">
        <w:rPr>
          <w:b/>
          <w:bCs/>
          <w:iCs/>
          <w:lang w:eastAsia="x-none"/>
        </w:rPr>
        <w:t xml:space="preserve">Програмі забезпечення профілактичних медичних оглядів працівників установ та закладів освіти, культури, фізичної культури і спорту, закладів роботи з молоддю, </w:t>
      </w:r>
      <w:r w:rsidRPr="00C04443">
        <w:rPr>
          <w:bCs/>
          <w:iCs/>
          <w:lang w:eastAsia="x-none"/>
        </w:rPr>
        <w:t>затвердженої рішенням Черкаської міської ради від 10.04.2014 № 4-600 (головний розпорядник коштів – департамент освіти та гуманітарної політики)</w:t>
      </w:r>
      <w:r w:rsidRPr="00C04443">
        <w:rPr>
          <w:lang w:eastAsia="x-none"/>
        </w:rPr>
        <w:t xml:space="preserve">, </w:t>
      </w:r>
      <w:r w:rsidRPr="00C04443">
        <w:rPr>
          <w:bCs/>
          <w:iCs/>
          <w:lang w:eastAsia="x-none"/>
        </w:rPr>
        <w:t>уточнені</w:t>
      </w:r>
      <w:r w:rsidRPr="00C04443">
        <w:rPr>
          <w:lang w:eastAsia="x-none"/>
        </w:rPr>
        <w:t xml:space="preserve"> </w:t>
      </w:r>
      <w:r w:rsidRPr="00C04443">
        <w:rPr>
          <w:bCs/>
          <w:iCs/>
          <w:lang w:eastAsia="x-none"/>
        </w:rPr>
        <w:t xml:space="preserve">річні призначення </w:t>
      </w:r>
      <w:r w:rsidRPr="00C04443">
        <w:rPr>
          <w:lang w:eastAsia="x-none"/>
        </w:rPr>
        <w:t>на 2015 рік</w:t>
      </w:r>
      <w:r w:rsidRPr="00C04443">
        <w:rPr>
          <w:bCs/>
          <w:iCs/>
          <w:lang w:eastAsia="x-none"/>
        </w:rPr>
        <w:t xml:space="preserve"> становлять</w:t>
      </w:r>
      <w:r w:rsidRPr="00C04443">
        <w:rPr>
          <w:lang w:eastAsia="x-none"/>
        </w:rPr>
        <w:t xml:space="preserve"> 903,8 тис.грн., касові видатки склали 694,9 тис.грн., або 76,9 відc. до уточнених річних призначень;</w:t>
      </w:r>
    </w:p>
    <w:p w:rsidR="00C04443" w:rsidRPr="00C04443" w:rsidRDefault="00C04443" w:rsidP="00C04443">
      <w:pPr>
        <w:ind w:firstLine="540"/>
        <w:jc w:val="both"/>
        <w:rPr>
          <w:lang w:eastAsia="x-none"/>
        </w:rPr>
      </w:pPr>
      <w:r w:rsidRPr="00C04443">
        <w:rPr>
          <w:lang w:eastAsia="x-none"/>
        </w:rPr>
        <w:t xml:space="preserve">- по </w:t>
      </w:r>
      <w:r w:rsidRPr="00C04443">
        <w:rPr>
          <w:b/>
          <w:lang w:eastAsia="x-none"/>
        </w:rPr>
        <w:t>Програмі забезпечення амбулаторного лікування хворих нефрологічного профілю мешканців міста Черкаси та переселенців з південно-східних областей України у 2014-2015 роках</w:t>
      </w:r>
      <w:r w:rsidRPr="00C04443">
        <w:rPr>
          <w:lang w:eastAsia="x-none"/>
        </w:rPr>
        <w:t xml:space="preserve"> (головний розпорядник коштів – департамент охорони здоров’я та медичних послуг ЧМР), уточнені призначення на 2015 рік становлять 10405,0 тис.грн., в томучислі за рахунок субвенції з обласного бюджету – 4455,7 тис.грн. Касові видатки за 2015 рік склали 10198,4 тис.грн., або 98,0 відс. до уточненого плану на рік, в тому числі за рахунок субвенції з обласного бюджету – 4455,2 тис.грн., або 100,0 відс.</w:t>
      </w:r>
    </w:p>
    <w:p w:rsidR="00C04443" w:rsidRPr="00C04443" w:rsidRDefault="00C04443" w:rsidP="00C04443">
      <w:pPr>
        <w:ind w:firstLine="540"/>
        <w:jc w:val="both"/>
      </w:pPr>
      <w:r w:rsidRPr="00C04443">
        <w:t xml:space="preserve">- по </w:t>
      </w:r>
      <w:r w:rsidRPr="00C04443">
        <w:rPr>
          <w:b/>
        </w:rPr>
        <w:t xml:space="preserve">Комплексній програмі підтримки учасників антитерористичної операції та членів їх сімей – мешканців м. Черкаси на 2015-2016 роки, </w:t>
      </w:r>
      <w:r w:rsidRPr="00C04443">
        <w:t>затвердженої рішенням Черкаської міської ради від 22.01.2015 №2-676 (із змінами)</w:t>
      </w:r>
      <w:r w:rsidRPr="00C04443">
        <w:rPr>
          <w:b/>
        </w:rPr>
        <w:t xml:space="preserve"> </w:t>
      </w:r>
      <w:r w:rsidRPr="00C04443">
        <w:t xml:space="preserve">(головний розпорядник коштів – департамент організаційного забезпечення), уточнені річні призначення на 2015 рік </w:t>
      </w:r>
      <w:r w:rsidRPr="00C04443">
        <w:lastRenderedPageBreak/>
        <w:t xml:space="preserve">становлять 332,3 тис.грн. </w:t>
      </w:r>
      <w:r w:rsidRPr="00C04443">
        <w:rPr>
          <w:bCs/>
          <w:iCs/>
        </w:rPr>
        <w:t xml:space="preserve">Касові видатки за </w:t>
      </w:r>
      <w:r w:rsidRPr="00C04443">
        <w:t xml:space="preserve">2015 рік </w:t>
      </w:r>
      <w:r w:rsidRPr="00C04443">
        <w:rPr>
          <w:bCs/>
          <w:iCs/>
        </w:rPr>
        <w:t>склали 84,9 тис.грн., або 25,5 відс.</w:t>
      </w:r>
      <w:r w:rsidRPr="00C04443">
        <w:t xml:space="preserve"> до уточненого річного плану. </w:t>
      </w:r>
    </w:p>
    <w:p w:rsidR="00C04443" w:rsidRPr="00C04443" w:rsidRDefault="00C04443" w:rsidP="00C04443">
      <w:pPr>
        <w:ind w:firstLine="540"/>
        <w:jc w:val="both"/>
        <w:rPr>
          <w:lang w:val="ru-RU"/>
        </w:rPr>
      </w:pPr>
      <w:r w:rsidRPr="00C04443">
        <w:t>Дебіторська заборгованість по загальному фонду станом на 01.01.2016 складає 28,6 тис.грн.</w:t>
      </w:r>
      <w:r w:rsidRPr="00C04443">
        <w:rPr>
          <w:lang w:val="ru-RU"/>
        </w:rPr>
        <w:t xml:space="preserve"> </w:t>
      </w:r>
    </w:p>
    <w:p w:rsidR="00C04443" w:rsidRPr="00C04443" w:rsidRDefault="00C04443" w:rsidP="00C04443">
      <w:pPr>
        <w:ind w:firstLine="540"/>
        <w:jc w:val="both"/>
      </w:pPr>
      <w:r w:rsidRPr="00C04443">
        <w:t>Кредиторська заборгованість по загальному фонду на 01.01.2016 відсутня.</w:t>
      </w:r>
    </w:p>
    <w:p w:rsidR="00C04443" w:rsidRPr="00C04443" w:rsidRDefault="00C04443" w:rsidP="00C04443">
      <w:pPr>
        <w:widowControl w:val="0"/>
        <w:ind w:firstLine="540"/>
        <w:jc w:val="both"/>
      </w:pPr>
      <w:r w:rsidRPr="00C04443">
        <w:t xml:space="preserve">По </w:t>
      </w:r>
      <w:r w:rsidRPr="00C04443">
        <w:rPr>
          <w:b/>
        </w:rPr>
        <w:t>КТКВК 250404 «Інші видатки»</w:t>
      </w:r>
      <w:r w:rsidRPr="00C04443">
        <w:t xml:space="preserve"> </w:t>
      </w:r>
      <w:r w:rsidRPr="00C04443">
        <w:rPr>
          <w:b/>
        </w:rPr>
        <w:t>по спеціальному фонду бюджету</w:t>
      </w:r>
      <w:r w:rsidRPr="00C04443">
        <w:t xml:space="preserve"> (бюджету розвитку) уточнені річні призначення на 2015 рік становлять 5582,2 тис.грн., касові видатки склали 3474,8 тис.грн., </w:t>
      </w:r>
      <w:r w:rsidRPr="00C04443">
        <w:rPr>
          <w:bCs/>
          <w:iCs/>
        </w:rPr>
        <w:t>або 62,2 відс. до річного плану</w:t>
      </w:r>
      <w:r w:rsidRPr="00C04443">
        <w:t xml:space="preserve">, у тому числі: </w:t>
      </w:r>
    </w:p>
    <w:p w:rsidR="00C04443" w:rsidRPr="00C04443" w:rsidRDefault="00C04443" w:rsidP="00C04443">
      <w:pPr>
        <w:ind w:firstLine="540"/>
        <w:jc w:val="both"/>
      </w:pPr>
      <w:r w:rsidRPr="00C04443">
        <w:t>- по</w:t>
      </w:r>
      <w:r w:rsidRPr="00C04443">
        <w:rPr>
          <w:b/>
        </w:rPr>
        <w:t xml:space="preserve"> Програмі розвитку дизайну міського середовища та зовнішньої реклами у м. Черкаси,</w:t>
      </w:r>
      <w:r w:rsidRPr="00C04443">
        <w:t xml:space="preserve"> затвердженої рішенням міської ради від 13.12.2012 № 3-1416 (зі змінами, головний розпорядник коштів – департамент архітектури, містобудування та інспектування ЧМР) уточнені </w:t>
      </w:r>
      <w:r w:rsidRPr="00C04443">
        <w:rPr>
          <w:bCs/>
          <w:iCs/>
        </w:rPr>
        <w:t xml:space="preserve">річні призначення </w:t>
      </w:r>
      <w:r w:rsidRPr="00C04443">
        <w:t>на 2015 рік</w:t>
      </w:r>
      <w:r w:rsidRPr="00C04443">
        <w:rPr>
          <w:bCs/>
          <w:iCs/>
        </w:rPr>
        <w:t xml:space="preserve"> становлять</w:t>
      </w:r>
      <w:r w:rsidRPr="00C04443">
        <w:t xml:space="preserve"> 20,0 тис.грн., касові видатки склали 17,5 </w:t>
      </w:r>
      <w:r w:rsidRPr="00C04443">
        <w:rPr>
          <w:bCs/>
          <w:iCs/>
        </w:rPr>
        <w:t xml:space="preserve">тис.грн., </w:t>
      </w:r>
      <w:r w:rsidRPr="00C04443">
        <w:t xml:space="preserve">або 87,5 відс. до річного плану. </w:t>
      </w:r>
      <w:r w:rsidRPr="00C04443">
        <w:rPr>
          <w:bCs/>
          <w:iCs/>
        </w:rPr>
        <w:t>Кошти використані на організацію та проведення загальноміського конкурсу "Оточи себе красою" (придбання гірки, каруселі, лави)</w:t>
      </w:r>
      <w:r w:rsidRPr="00C04443">
        <w:t>;</w:t>
      </w:r>
    </w:p>
    <w:p w:rsidR="00C04443" w:rsidRPr="00C04443" w:rsidRDefault="00C04443" w:rsidP="00C04443">
      <w:pPr>
        <w:ind w:firstLine="540"/>
        <w:jc w:val="both"/>
      </w:pPr>
      <w:r w:rsidRPr="00C04443">
        <w:rPr>
          <w:bCs/>
        </w:rPr>
        <w:t>- по</w:t>
      </w:r>
      <w:r w:rsidRPr="00C04443">
        <w:rPr>
          <w:b/>
          <w:bCs/>
        </w:rPr>
        <w:t xml:space="preserve"> Програмі розвитку земельних відносин в м. Черкаси</w:t>
      </w:r>
      <w:r w:rsidRPr="00C04443">
        <w:t xml:space="preserve">, затвердженої рішенням Черкаської міської ради від 27.12.2012 № 3-1496 (головний розпорядник коштів – департамент архітектури, містобудування та інспектування ЧМР), </w:t>
      </w:r>
      <w:r w:rsidRPr="00C04443">
        <w:rPr>
          <w:bCs/>
          <w:iCs/>
        </w:rPr>
        <w:t>річні призначення становлять</w:t>
      </w:r>
      <w:r w:rsidRPr="00C04443">
        <w:t xml:space="preserve"> 262,1 тис.грн., касові видатки склали 166,0 </w:t>
      </w:r>
      <w:r w:rsidRPr="00C04443">
        <w:rPr>
          <w:bCs/>
          <w:iCs/>
        </w:rPr>
        <w:t xml:space="preserve">тис.грн., </w:t>
      </w:r>
      <w:r w:rsidRPr="00C04443">
        <w:t xml:space="preserve">або 63,3 відс. до річного плану. </w:t>
      </w:r>
      <w:r w:rsidRPr="00C04443">
        <w:rPr>
          <w:bCs/>
          <w:iCs/>
        </w:rPr>
        <w:t>Кошти використані на: проведення експертної грошової оцінки земельної ділянки, що підлягає продажу відповідно до статті 128 Земельного кодексу України, за рахунок авансу, внесеного покупцем земельної ділянки 41,0 тис.грн. (в т.ч. погашення кредиторської заборгованості за 2014 рік – 11,2 тис.грн.); організацію та проведення аукціонів по продажу землі та права користування нею – 125,0 тис.грн. (в т.ч. погашення кредиторської заборгованості за 2014 рік – 15,9 тис.грн.)</w:t>
      </w:r>
      <w:r w:rsidRPr="00C04443">
        <w:t>;</w:t>
      </w:r>
    </w:p>
    <w:p w:rsidR="00C04443" w:rsidRPr="00C04443" w:rsidRDefault="00C04443" w:rsidP="00C04443">
      <w:pPr>
        <w:ind w:firstLine="540"/>
        <w:jc w:val="both"/>
      </w:pPr>
      <w:r w:rsidRPr="00C04443">
        <w:t xml:space="preserve">- по </w:t>
      </w:r>
      <w:r w:rsidRPr="00C04443">
        <w:rPr>
          <w:b/>
        </w:rPr>
        <w:t xml:space="preserve">Програмі розроблення містобудівної документації в м. Черкаси, </w:t>
      </w:r>
      <w:r w:rsidRPr="00C04443">
        <w:t xml:space="preserve">затвердженої рішенням Черкаської міської ради від 29.12.2011 № 3-519 (із змінами від 26.12.2013 34-439, головний розпорядник коштів – департамент архітектури, містобудування та інспектування ЧМР), </w:t>
      </w:r>
      <w:r w:rsidRPr="00C04443">
        <w:rPr>
          <w:bCs/>
          <w:iCs/>
        </w:rPr>
        <w:t>річні призначення становлять</w:t>
      </w:r>
      <w:r w:rsidRPr="00C04443">
        <w:t xml:space="preserve"> 2042,4 тис.грн., касові видатки склали 1067,2 </w:t>
      </w:r>
      <w:r w:rsidRPr="00C04443">
        <w:rPr>
          <w:bCs/>
          <w:iCs/>
        </w:rPr>
        <w:t xml:space="preserve">тис.грн., </w:t>
      </w:r>
      <w:r w:rsidRPr="00C04443">
        <w:t xml:space="preserve">або 52,3 відс. до річного плану. </w:t>
      </w:r>
      <w:r w:rsidRPr="00C04443">
        <w:rPr>
          <w:bCs/>
          <w:iCs/>
        </w:rPr>
        <w:t>Кошти використані на: розроблення плану зонування території м. Черкаси (кредиторська заборгованість 2014 року) – 779,9 тис.грн.; внесення змін до генерального плану міста Черкаси (Актуалізація) – 287,3 тис.грн.</w:t>
      </w:r>
      <w:r w:rsidRPr="00C04443">
        <w:t>;</w:t>
      </w:r>
    </w:p>
    <w:p w:rsidR="00C04443" w:rsidRPr="00C04443" w:rsidRDefault="00C04443" w:rsidP="00C04443">
      <w:pPr>
        <w:ind w:firstLine="540"/>
        <w:jc w:val="both"/>
      </w:pPr>
      <w:r w:rsidRPr="00C04443">
        <w:t>- по</w:t>
      </w:r>
      <w:r w:rsidRPr="00C04443">
        <w:rPr>
          <w:b/>
        </w:rPr>
        <w:t xml:space="preserve"> Програмі підвищення енергоефективності та зменшення споживання енергоресурсів у місті Черкасах</w:t>
      </w:r>
      <w:r w:rsidRPr="00C04443">
        <w:t>, затвердженої рішенням міської ради від 08.11.2012 № 3-1338 (зі змінами, головний розпорядник коштів – департамент економіки та розвитку</w:t>
      </w:r>
      <w:r w:rsidRPr="00C04443">
        <w:rPr>
          <w:b/>
          <w:bCs/>
          <w:i/>
          <w:iCs/>
        </w:rPr>
        <w:t xml:space="preserve"> </w:t>
      </w:r>
      <w:r w:rsidRPr="00C04443">
        <w:rPr>
          <w:bCs/>
          <w:iCs/>
        </w:rPr>
        <w:t>ЧМР</w:t>
      </w:r>
      <w:r w:rsidRPr="00C04443">
        <w:t xml:space="preserve">), </w:t>
      </w:r>
      <w:r w:rsidRPr="00C04443">
        <w:rPr>
          <w:bCs/>
          <w:iCs/>
        </w:rPr>
        <w:t>річні призначення становлять</w:t>
      </w:r>
      <w:r w:rsidRPr="00C04443">
        <w:t xml:space="preserve"> 38,6 тис.грн., касові видатки склали 100,0 відс. до річного плану. </w:t>
      </w:r>
      <w:r w:rsidRPr="00C04443">
        <w:rPr>
          <w:bCs/>
          <w:iCs/>
        </w:rPr>
        <w:t>Кошти використані на реконструкцію приміщення дошкільного навчального закладу (ясла-садок) №90 ЧМР (в т.ч. погашення кредиторської заборгованості за 2014 рік – 27,0 тис.грн.)</w:t>
      </w:r>
      <w:r w:rsidRPr="00C04443">
        <w:t>;</w:t>
      </w:r>
    </w:p>
    <w:p w:rsidR="00C04443" w:rsidRPr="00C04443" w:rsidRDefault="00C04443" w:rsidP="00C04443">
      <w:pPr>
        <w:ind w:firstLine="540"/>
        <w:jc w:val="both"/>
      </w:pPr>
      <w:r w:rsidRPr="00C04443">
        <w:t xml:space="preserve">- по </w:t>
      </w:r>
      <w:r w:rsidRPr="00C04443">
        <w:rPr>
          <w:b/>
        </w:rPr>
        <w:t>міській П</w:t>
      </w:r>
      <w:r w:rsidRPr="00C04443">
        <w:rPr>
          <w:b/>
          <w:bCs/>
        </w:rPr>
        <w:t>рограмі управління об’єктами комунальної власності територіальної громади м. Черкаси</w:t>
      </w:r>
      <w:r w:rsidRPr="00C04443">
        <w:t>, затвердженої рішенням Черкаської міської ради від 08.12.2011 № 3-403 (головний розпорядник коштів – департамент економіки та розвитку</w:t>
      </w:r>
      <w:r w:rsidRPr="00C04443">
        <w:rPr>
          <w:b/>
          <w:bCs/>
          <w:i/>
          <w:iCs/>
        </w:rPr>
        <w:t xml:space="preserve"> </w:t>
      </w:r>
      <w:r w:rsidRPr="00C04443">
        <w:rPr>
          <w:bCs/>
          <w:iCs/>
        </w:rPr>
        <w:t>ЧМР</w:t>
      </w:r>
      <w:r w:rsidRPr="00C04443">
        <w:t xml:space="preserve">), </w:t>
      </w:r>
      <w:r w:rsidRPr="00C04443">
        <w:rPr>
          <w:bCs/>
          <w:iCs/>
        </w:rPr>
        <w:t>річні призначення становлять</w:t>
      </w:r>
      <w:r w:rsidRPr="00C04443">
        <w:t xml:space="preserve"> 223,5 тис.грн., касові видатки склали 223,0 </w:t>
      </w:r>
      <w:r w:rsidRPr="00C04443">
        <w:rPr>
          <w:bCs/>
          <w:iCs/>
        </w:rPr>
        <w:t xml:space="preserve">тис.грн., </w:t>
      </w:r>
      <w:r w:rsidRPr="00C04443">
        <w:t xml:space="preserve">або 99,8 відс. до річного плану. </w:t>
      </w:r>
      <w:r w:rsidRPr="00C04443">
        <w:rPr>
          <w:bCs/>
          <w:iCs/>
        </w:rPr>
        <w:t>Кошти використані на: придбання та встановлення лічильника тепла буд. по бул.Шевченка,117 – 29,4 тис.грн. (в т.ч. погашення кредиторської заборгованості за 2014 рік – 5,7 тис.грн.)</w:t>
      </w:r>
      <w:r w:rsidRPr="00C04443">
        <w:t>; капітальний ремонт вхідних груп адміністративних будівель по бул.Шевченка 117, 307 (з ПКД) – 193,6 тис.грн.;</w:t>
      </w:r>
    </w:p>
    <w:p w:rsidR="00C04443" w:rsidRPr="00C04443" w:rsidRDefault="00C04443" w:rsidP="00C04443">
      <w:pPr>
        <w:ind w:firstLine="540"/>
        <w:jc w:val="both"/>
      </w:pPr>
      <w:r w:rsidRPr="00C04443">
        <w:t xml:space="preserve">- по </w:t>
      </w:r>
      <w:r w:rsidRPr="00C04443">
        <w:rPr>
          <w:b/>
        </w:rPr>
        <w:t xml:space="preserve">Програмі </w:t>
      </w:r>
      <w:r w:rsidRPr="00C04443">
        <w:rPr>
          <w:b/>
          <w:bCs/>
          <w:color w:val="000000"/>
        </w:rPr>
        <w:t>підвищення ефективності роботи Управління Державної міграційної служби України в Черкаській області на 2015 рік</w:t>
      </w:r>
      <w:r w:rsidRPr="00C04443">
        <w:t xml:space="preserve">, затвердженої рішенням Черкаської міської ради від 29.09.2015 № 2-1698, річні призначення становлять 300,0 тис.грн., касові видатки 257,3 тис.грн., або 85,8 відс. до річного плану. </w:t>
      </w:r>
      <w:r w:rsidRPr="00C04443">
        <w:rPr>
          <w:bCs/>
          <w:iCs/>
        </w:rPr>
        <w:t>Кошти використані на придбання комп'ютерної та оргтехніки, картотечних шаф</w:t>
      </w:r>
      <w:r w:rsidRPr="00C04443">
        <w:t>;</w:t>
      </w:r>
    </w:p>
    <w:p w:rsidR="00C04443" w:rsidRPr="00C04443" w:rsidRDefault="00C04443" w:rsidP="00C04443">
      <w:pPr>
        <w:widowControl w:val="0"/>
        <w:ind w:firstLine="540"/>
        <w:jc w:val="both"/>
      </w:pPr>
      <w:r w:rsidRPr="00C04443">
        <w:t xml:space="preserve">- по </w:t>
      </w:r>
      <w:r w:rsidRPr="00C04443">
        <w:rPr>
          <w:b/>
          <w:bCs/>
        </w:rPr>
        <w:t>Програмі сприяння здійсненню  органами самоорганізації населення м. Черкаси їхніх повноважень на 2014-2016 роки</w:t>
      </w:r>
      <w:r w:rsidRPr="00C04443">
        <w:t xml:space="preserve">, затвердженої рішенням Черкаської міської ради від 18.02.2014 № 4-457 (головний розпорядник коштів – департамент організаційного </w:t>
      </w:r>
      <w:r w:rsidRPr="00C04443">
        <w:lastRenderedPageBreak/>
        <w:t xml:space="preserve">забезпечення ЧМР), призначення </w:t>
      </w:r>
      <w:r w:rsidRPr="00C04443">
        <w:rPr>
          <w:bCs/>
          <w:iCs/>
        </w:rPr>
        <w:t>на 2015 рік</w:t>
      </w:r>
      <w:r w:rsidRPr="00C04443">
        <w:t xml:space="preserve"> становлять 943,6 тис.грн., касові видатки склали 905,5 тис.грн., або 96,0 відс. до уточненого річного плану. Кошти використані на капітальний ремонт у приміщеннях комітетів самоорганізації населення міста Черкаси;</w:t>
      </w:r>
    </w:p>
    <w:p w:rsidR="00C04443" w:rsidRPr="00C04443" w:rsidRDefault="00C04443" w:rsidP="00C04443">
      <w:pPr>
        <w:ind w:firstLine="540"/>
        <w:jc w:val="both"/>
      </w:pPr>
      <w:r w:rsidRPr="00C04443">
        <w:t xml:space="preserve">- по </w:t>
      </w:r>
      <w:r w:rsidRPr="00C04443">
        <w:rPr>
          <w:b/>
        </w:rPr>
        <w:t>Програмі захисту населення м. Черкаси від надзвичайних ситуацій техногенного і природного характеру,</w:t>
      </w:r>
      <w:r w:rsidRPr="00C04443">
        <w:t xml:space="preserve"> затвердженої рішенням Черкаської міської ради від 24.11.2011 №3-347, </w:t>
      </w:r>
      <w:r w:rsidRPr="00C04443">
        <w:rPr>
          <w:bCs/>
          <w:iCs/>
        </w:rPr>
        <w:t>річні призначення становлять</w:t>
      </w:r>
      <w:r w:rsidRPr="00C04443">
        <w:t xml:space="preserve"> 57,9 тис.грн., касові видатки склали 100,0 відс. до річних призначень. </w:t>
      </w:r>
      <w:r w:rsidRPr="00C04443">
        <w:rPr>
          <w:bCs/>
          <w:iCs/>
        </w:rPr>
        <w:t>Кошти використані на придбання обладнання та предметів довгострокового користування для забеспечення потреб військовослужбовців (кредиторська заборгованість 2014 року)</w:t>
      </w:r>
      <w:r w:rsidRPr="00C04443">
        <w:t>.</w:t>
      </w:r>
    </w:p>
    <w:p w:rsidR="00C04443" w:rsidRPr="00C04443" w:rsidRDefault="00C04443" w:rsidP="00C04443">
      <w:pPr>
        <w:ind w:firstLine="540"/>
        <w:jc w:val="both"/>
      </w:pPr>
      <w:r w:rsidRPr="00C04443">
        <w:rPr>
          <w:bCs/>
          <w:iCs/>
        </w:rPr>
        <w:t xml:space="preserve">На виконання заходів передбачених </w:t>
      </w:r>
      <w:r w:rsidRPr="00C04443">
        <w:t xml:space="preserve">Програмою соціально-економічного та культурного розвитку міста Черкаси на 2015 рік, затвердженої рішенням Черкаської міської ради від 09.04.2015 № 2-1157, річні призначення становлять 1694,1 тис.грн., касові видатки склали 741,8 тис.грн., або 43,8 відс. до річного плану. </w:t>
      </w:r>
      <w:r w:rsidRPr="00C04443">
        <w:rPr>
          <w:bCs/>
          <w:iCs/>
        </w:rPr>
        <w:t>Кошти використані на: капітальний ремонт нежитлових приміщень по вул.Рєпіна,12/1 для розміщення центру обліку бездомних громадян з відділенням нічного перебування (з ПКД) – 261,0 тис.грн. (в т.ч. погашення кредиторської заборгованості за 2014 рік – 168,2 тис.грн.)</w:t>
      </w:r>
      <w:r w:rsidRPr="00C04443">
        <w:t>; капітальний ремонт адміністративної будівлі по бул. Шевченка, 307 (з ПКД) (кредиторська заборгованість 2014 року) – 9,2 тис.грн.; капітальний ремонт адміністративної будівлі по бул. Шевченка, 117  (з ПКД) (кредиторська заборгованість 2014 року) – 360,8 тис.грн.; капітальний ремонт покрівель будівлі по вул. Благовісній, 170 – 68,1 тис.грн.; капітальний ремонт адміністративної будівлі територіального центру соціальної допомоги Придніпровського району за адресою: вул. Гвардійська, 7/5, м. Черкаси (корпус АІІ-ІІ) (з ПКД) – 42,7 тис.грн.</w:t>
      </w:r>
    </w:p>
    <w:p w:rsidR="00C04443" w:rsidRPr="00C04443" w:rsidRDefault="00C04443" w:rsidP="00C04443">
      <w:pPr>
        <w:ind w:firstLine="540"/>
        <w:jc w:val="both"/>
      </w:pPr>
      <w:r w:rsidRPr="00C04443">
        <w:t xml:space="preserve">Дебіторська та кредиторська заборгованість по спеціальному фонду (бюджету розвитку) на 01.01.2016 відсутні. </w:t>
      </w:r>
    </w:p>
    <w:p w:rsidR="00C04443" w:rsidRPr="00C04443" w:rsidRDefault="00C04443" w:rsidP="00C04443">
      <w:pPr>
        <w:spacing w:before="120"/>
        <w:ind w:firstLine="540"/>
        <w:jc w:val="both"/>
        <w:rPr>
          <w:i/>
        </w:rPr>
      </w:pPr>
      <w:r w:rsidRPr="00C04443">
        <w:rPr>
          <w:i/>
        </w:rPr>
        <w:t>Детальний перелік всіх міських Програм, які фінансуються за рахунок коштів міського бюджету у поточному році наведений у додатку 4 до інформації про використання коштів міського бюджету (пояснюючої до звіту про виконання міського бюджету м.Черкаси за 2015 рік), що додається.</w:t>
      </w:r>
    </w:p>
    <w:p w:rsidR="00C04443" w:rsidRPr="00C04443" w:rsidRDefault="00C04443" w:rsidP="00C04443">
      <w:pPr>
        <w:keepNext/>
        <w:spacing w:before="120"/>
        <w:jc w:val="center"/>
        <w:outlineLvl w:val="1"/>
        <w:rPr>
          <w:b/>
          <w:bCs/>
          <w:i/>
          <w:iCs/>
          <w:u w:val="single"/>
        </w:rPr>
      </w:pPr>
      <w:r w:rsidRPr="00C04443">
        <w:rPr>
          <w:b/>
          <w:bCs/>
          <w:i/>
          <w:iCs/>
          <w:u w:val="single"/>
        </w:rPr>
        <w:t xml:space="preserve">КТКВК 250913 Витрати, пов’язані з наданням та обслуговуванням  </w:t>
      </w:r>
    </w:p>
    <w:p w:rsidR="00C04443" w:rsidRPr="00C04443" w:rsidRDefault="00C04443" w:rsidP="00C04443">
      <w:pPr>
        <w:keepNext/>
        <w:jc w:val="center"/>
        <w:outlineLvl w:val="1"/>
        <w:rPr>
          <w:b/>
          <w:bCs/>
          <w:i/>
          <w:iCs/>
          <w:u w:val="single"/>
        </w:rPr>
      </w:pPr>
      <w:r w:rsidRPr="00C04443">
        <w:rPr>
          <w:b/>
          <w:bCs/>
          <w:i/>
          <w:iCs/>
          <w:u w:val="single"/>
        </w:rPr>
        <w:t>пільгових  довгострокових кредитів, наданих  громадянам на будівництво (реконструкцію) та  придбання житла</w:t>
      </w:r>
    </w:p>
    <w:p w:rsidR="00C04443" w:rsidRPr="00C04443" w:rsidRDefault="00C04443" w:rsidP="00C04443">
      <w:pPr>
        <w:spacing w:before="60"/>
        <w:ind w:firstLine="539"/>
        <w:jc w:val="both"/>
      </w:pPr>
      <w:r w:rsidRPr="00C04443">
        <w:t>По загальному фонду на обслуговування пільгового довгострокового молодіжного кредиту, що надається громадянам на будівництво (реконструкцію) та придбання житла</w:t>
      </w:r>
      <w:r w:rsidRPr="00C04443">
        <w:rPr>
          <w:sz w:val="22"/>
          <w:szCs w:val="22"/>
        </w:rPr>
        <w:t xml:space="preserve"> на 2015 рік були передбачені видатки у сумі 30,4 тис.грн.,</w:t>
      </w:r>
      <w:r w:rsidRPr="00C04443">
        <w:t xml:space="preserve"> касові видатки склали 30,4  тис.грн., або 100 відс. до уточнених річних призначень. </w:t>
      </w:r>
    </w:p>
    <w:p w:rsidR="00C04443" w:rsidRPr="00C04443" w:rsidRDefault="00C04443" w:rsidP="00C04443">
      <w:pPr>
        <w:ind w:firstLine="540"/>
        <w:jc w:val="both"/>
      </w:pPr>
      <w:r w:rsidRPr="00C04443">
        <w:t>По спеціальному фонду передбачено видатки в сумі 77,6 тис.грн., касові видатки склали 38,8 тис.грн., або  50,0 відс. до уточнених річних призначень.</w:t>
      </w:r>
    </w:p>
    <w:p w:rsidR="00C04443" w:rsidRPr="00C04443" w:rsidRDefault="00C04443" w:rsidP="00C04443">
      <w:pPr>
        <w:ind w:firstLine="540"/>
        <w:jc w:val="both"/>
      </w:pPr>
      <w:r w:rsidRPr="00C04443">
        <w:t>Станом на 01.01.2016 року кредиторська та дебіторська заборгованості відсутні.</w:t>
      </w:r>
    </w:p>
    <w:p w:rsidR="00C04443" w:rsidRPr="00C04443" w:rsidRDefault="00C04443" w:rsidP="00C04443">
      <w:pPr>
        <w:ind w:firstLine="540"/>
        <w:jc w:val="both"/>
        <w:rPr>
          <w:highlight w:val="yellow"/>
        </w:rPr>
      </w:pPr>
    </w:p>
    <w:p w:rsidR="00C04443" w:rsidRPr="00C04443" w:rsidRDefault="00C04443" w:rsidP="00C04443">
      <w:pPr>
        <w:jc w:val="center"/>
        <w:rPr>
          <w:b/>
          <w:bCs/>
          <w:i/>
          <w:iCs/>
          <w:u w:val="single"/>
        </w:rPr>
      </w:pPr>
      <w:r w:rsidRPr="00C04443">
        <w:rPr>
          <w:b/>
          <w:bCs/>
          <w:i/>
          <w:iCs/>
          <w:u w:val="single"/>
        </w:rPr>
        <w:t>КРЕДИТУВАННЯ</w:t>
      </w:r>
    </w:p>
    <w:p w:rsidR="00C04443" w:rsidRPr="00C04443" w:rsidRDefault="00C04443" w:rsidP="00C04443">
      <w:pPr>
        <w:keepNext/>
        <w:spacing w:before="120"/>
        <w:jc w:val="center"/>
        <w:outlineLvl w:val="1"/>
        <w:rPr>
          <w:b/>
          <w:bCs/>
          <w:i/>
          <w:iCs/>
          <w:u w:val="single"/>
        </w:rPr>
      </w:pPr>
      <w:r w:rsidRPr="00C04443">
        <w:rPr>
          <w:b/>
          <w:bCs/>
          <w:i/>
          <w:iCs/>
          <w:u w:val="single"/>
        </w:rPr>
        <w:t>КТКВК 180411 Виконання Автономною Республікою Крим чи територіальною громадою міста гарантійних зобов'язань за позичальників, що отримали кредити під місцеві гарантії</w:t>
      </w:r>
    </w:p>
    <w:p w:rsidR="00C04443" w:rsidRPr="00C04443" w:rsidRDefault="00C04443" w:rsidP="00C04443">
      <w:pPr>
        <w:spacing w:before="60"/>
        <w:ind w:firstLine="567"/>
        <w:jc w:val="both"/>
        <w:rPr>
          <w:bCs/>
          <w:iCs/>
        </w:rPr>
      </w:pPr>
      <w:r w:rsidRPr="00C04443">
        <w:rPr>
          <w:bCs/>
          <w:iCs/>
        </w:rPr>
        <w:t>За рахунок спеціального фонду (бюджету розвитку) передбачені призначення в сумі 13969,1 тис.грн. для забезпечення виконання Черкаською міською радою гарантійних зобов’язань з платежів, термін яких настає у поточному році, в тому числі для забезпечення гарантійних виплат по КП «Черкасиводоканал» - 10080,0 тис.грн. за кредитом на реалізацію «відкритого компонента» спільного з Міжнародним банком реконструкції та розвитку проекту «Розвиток міської інфраструктури»;  КПТМ «Черкаситеплокомуненерго» - 3889,1 тис.грн. за кредитом від Європейського банку реконструкції та розвитку на заходи з енергозбереження. Платежі, пов’язані з виконанням гарантійних зобов’язань не проводились.</w:t>
      </w:r>
    </w:p>
    <w:p w:rsidR="00C04443" w:rsidRPr="00C04443" w:rsidRDefault="00C04443" w:rsidP="00C04443">
      <w:pPr>
        <w:widowControl w:val="0"/>
        <w:spacing w:before="120"/>
        <w:jc w:val="center"/>
        <w:rPr>
          <w:b/>
          <w:bCs/>
          <w:i/>
          <w:iCs/>
          <w:u w:val="single"/>
        </w:rPr>
      </w:pPr>
      <w:r w:rsidRPr="00C04443">
        <w:rPr>
          <w:b/>
          <w:bCs/>
          <w:i/>
          <w:iCs/>
          <w:u w:val="single"/>
        </w:rPr>
        <w:t xml:space="preserve">КТКВК 250908 Надання пільгового довгострокового кредиту громадянам </w:t>
      </w:r>
    </w:p>
    <w:p w:rsidR="00C04443" w:rsidRPr="00C04443" w:rsidRDefault="00C04443" w:rsidP="00C04443">
      <w:pPr>
        <w:widowControl w:val="0"/>
        <w:jc w:val="center"/>
        <w:rPr>
          <w:b/>
          <w:bCs/>
          <w:i/>
          <w:iCs/>
          <w:u w:val="single"/>
        </w:rPr>
      </w:pPr>
      <w:r w:rsidRPr="00C04443">
        <w:rPr>
          <w:b/>
          <w:bCs/>
          <w:i/>
          <w:iCs/>
          <w:u w:val="single"/>
        </w:rPr>
        <w:lastRenderedPageBreak/>
        <w:t xml:space="preserve">на будівництво (реконструкцію) та придбання житла </w:t>
      </w:r>
    </w:p>
    <w:p w:rsidR="00C04443" w:rsidRPr="00C04443" w:rsidRDefault="00C04443" w:rsidP="00C04443">
      <w:pPr>
        <w:widowControl w:val="0"/>
        <w:spacing w:before="60"/>
        <w:ind w:firstLine="567"/>
        <w:jc w:val="both"/>
        <w:rPr>
          <w:lang w:eastAsia="x-none"/>
        </w:rPr>
      </w:pPr>
      <w:r w:rsidRPr="00C04443">
        <w:rPr>
          <w:lang w:eastAsia="x-none"/>
        </w:rPr>
        <w:t xml:space="preserve">По Програмі молодіжного житлового кредитування в м. Черкаси на 2014-2017 роки, затвердженій рішенням Черкаської міської ради </w:t>
      </w:r>
      <w:r w:rsidRPr="00C04443">
        <w:rPr>
          <w:szCs w:val="20"/>
          <w:lang w:eastAsia="x-none"/>
        </w:rPr>
        <w:t>від 26.12.2013 року № 4-432</w:t>
      </w:r>
      <w:r w:rsidRPr="00C04443">
        <w:rPr>
          <w:lang w:eastAsia="x-none"/>
        </w:rPr>
        <w:t>, були передбачені  видатки в сумі 1800,8 тис.грн., касові видатки склали 1154,9 тис.грн., або 64,1 відс.  до уточнених річних призначень, в т.ч.:</w:t>
      </w:r>
    </w:p>
    <w:p w:rsidR="00C04443" w:rsidRPr="00C04443" w:rsidRDefault="00C04443" w:rsidP="00C04443">
      <w:pPr>
        <w:widowControl w:val="0"/>
        <w:numPr>
          <w:ilvl w:val="0"/>
          <w:numId w:val="19"/>
        </w:numPr>
        <w:tabs>
          <w:tab w:val="num" w:pos="0"/>
        </w:tabs>
        <w:ind w:left="0" w:firstLine="567"/>
        <w:jc w:val="both"/>
        <w:rPr>
          <w:lang w:eastAsia="x-none"/>
        </w:rPr>
      </w:pPr>
      <w:r w:rsidRPr="00C04443">
        <w:rPr>
          <w:lang w:eastAsia="x-none"/>
        </w:rPr>
        <w:t xml:space="preserve">по загальному фонду - 507,8 тис.грн., касові видатки склали 507,8 тис.грн., або 100,0 відс. до річних призначень; </w:t>
      </w:r>
    </w:p>
    <w:p w:rsidR="00C04443" w:rsidRPr="00C04443" w:rsidRDefault="00C04443" w:rsidP="00C04443">
      <w:pPr>
        <w:widowControl w:val="0"/>
        <w:numPr>
          <w:ilvl w:val="0"/>
          <w:numId w:val="19"/>
        </w:numPr>
        <w:tabs>
          <w:tab w:val="num" w:pos="0"/>
        </w:tabs>
        <w:ind w:left="0" w:firstLine="567"/>
        <w:jc w:val="both"/>
        <w:rPr>
          <w:lang w:eastAsia="x-none"/>
        </w:rPr>
      </w:pPr>
      <w:r w:rsidRPr="00C04443">
        <w:rPr>
          <w:lang w:eastAsia="x-none"/>
        </w:rPr>
        <w:t>по спеціальному фонду - 1293,0 тис.грн., касові видатки склали 647,1 тис.грн., або 50,0 відс. до уточнених річних призначень.</w:t>
      </w:r>
    </w:p>
    <w:p w:rsidR="00C04443" w:rsidRPr="00C04443" w:rsidRDefault="00C04443" w:rsidP="00C04443">
      <w:pPr>
        <w:ind w:firstLine="540"/>
        <w:jc w:val="both"/>
      </w:pPr>
      <w:r w:rsidRPr="00C04443">
        <w:t>По видатках на молодіжне житлове кредитування станом на 01.01.2016 року рахується кредиторська заборгованість по загальному фонду у сумі 11957,5 тис.грн. за коштами, наданими Черкаському регіональному відділенню Державної спеціалізованої установи «Державний фонд сприяння молодіжному житловому будівництву» для кредитування молодих сімей на будівництво.</w:t>
      </w:r>
    </w:p>
    <w:p w:rsidR="00C04443" w:rsidRPr="00C04443" w:rsidRDefault="00C04443" w:rsidP="00C04443">
      <w:pPr>
        <w:ind w:firstLine="540"/>
        <w:jc w:val="both"/>
      </w:pPr>
      <w:r w:rsidRPr="00C04443">
        <w:t xml:space="preserve"> По спеціальному фонду кредиторська заборгованість відсутня. </w:t>
      </w:r>
    </w:p>
    <w:p w:rsidR="00C04443" w:rsidRPr="00C04443" w:rsidRDefault="00C04443" w:rsidP="00C04443">
      <w:pPr>
        <w:ind w:firstLine="567"/>
        <w:jc w:val="both"/>
      </w:pPr>
      <w:r w:rsidRPr="00C04443">
        <w:t>Дебіторська заборгованість по загальному фонду склала 7075,5 тис.грн., по спеціальному фонду – 4500,</w:t>
      </w:r>
      <w:r w:rsidRPr="00C04443">
        <w:rPr>
          <w:lang w:val="ru-RU"/>
        </w:rPr>
        <w:t>7</w:t>
      </w:r>
      <w:r w:rsidRPr="00C04443">
        <w:t xml:space="preserve"> тис.грн. - зобов’язання позичальників за отриманими кредитами.</w:t>
      </w:r>
    </w:p>
    <w:p w:rsidR="00C04443" w:rsidRPr="00C04443" w:rsidRDefault="00C04443" w:rsidP="00C04443">
      <w:pPr>
        <w:widowControl w:val="0"/>
        <w:spacing w:before="120"/>
        <w:jc w:val="center"/>
        <w:rPr>
          <w:b/>
          <w:bCs/>
          <w:i/>
          <w:iCs/>
          <w:u w:val="single"/>
        </w:rPr>
      </w:pPr>
      <w:r w:rsidRPr="00C04443">
        <w:rPr>
          <w:b/>
          <w:bCs/>
          <w:i/>
          <w:iCs/>
          <w:u w:val="single"/>
        </w:rPr>
        <w:t xml:space="preserve">КТКВК 250909 Повернення коштів, наданих для кредитування громадян </w:t>
      </w:r>
    </w:p>
    <w:p w:rsidR="00C04443" w:rsidRPr="00C04443" w:rsidRDefault="00C04443" w:rsidP="00C04443">
      <w:pPr>
        <w:widowControl w:val="0"/>
        <w:jc w:val="center"/>
        <w:rPr>
          <w:b/>
          <w:bCs/>
          <w:i/>
          <w:iCs/>
          <w:u w:val="single"/>
        </w:rPr>
      </w:pPr>
      <w:r w:rsidRPr="00C04443">
        <w:rPr>
          <w:b/>
          <w:bCs/>
          <w:i/>
          <w:iCs/>
          <w:u w:val="single"/>
        </w:rPr>
        <w:t>на будівництво (реконструкцію) та придбання житла</w:t>
      </w:r>
    </w:p>
    <w:p w:rsidR="00C04443" w:rsidRPr="00C04443" w:rsidRDefault="00C04443" w:rsidP="00C04443">
      <w:pPr>
        <w:ind w:firstLine="709"/>
        <w:jc w:val="both"/>
        <w:rPr>
          <w:bCs/>
        </w:rPr>
      </w:pPr>
      <w:r w:rsidRPr="00C04443">
        <w:t xml:space="preserve">Надходження коштів у сумі 56,7 тис.грн. до загального фонду забезпечено від повернення позик, які надавались протягом 1995-2001 років з місцевого бюджету на  будівництво житлово-будівельним кооперативам відповідно до постанови КМУ від 20.10.1992 № 593 «Про подальший розвиток житлово-будівельної кооперації» терміном на 30 років (строк погашення до 2025 року). </w:t>
      </w:r>
    </w:p>
    <w:p w:rsidR="00C04443" w:rsidRPr="00C04443" w:rsidRDefault="00C04443" w:rsidP="00C04443">
      <w:pPr>
        <w:widowControl w:val="0"/>
        <w:ind w:firstLine="540"/>
        <w:jc w:val="both"/>
        <w:rPr>
          <w:lang w:val="ru-RU"/>
        </w:rPr>
      </w:pPr>
      <w:r w:rsidRPr="00C04443">
        <w:t>План надходження коштів до спеціального фонду за рахунок повернення кредитів, наданих громадянам на будівництво житла для молодих сімей в минулих роках на 2015 рік передбачений в сумі 1170,0 тис.грн. Фактичні надходження склали 913</w:t>
      </w:r>
      <w:r w:rsidRPr="00C04443">
        <w:rPr>
          <w:lang w:val="ru-RU"/>
        </w:rPr>
        <w:t>,7</w:t>
      </w:r>
      <w:r w:rsidRPr="00C04443">
        <w:t xml:space="preserve"> тис.грн. (в т.ч. повернення довгострокових кредитів - 907,</w:t>
      </w:r>
      <w:r w:rsidRPr="00C04443">
        <w:rPr>
          <w:lang w:val="ru-RU"/>
        </w:rPr>
        <w:t>7</w:t>
      </w:r>
      <w:r w:rsidRPr="00C04443">
        <w:t xml:space="preserve"> тис.грн., пеня за прострочені платежі – 6,0 тис.грн.), або 78,1 відс. до уточненого річного плану.</w:t>
      </w:r>
    </w:p>
    <w:p w:rsidR="00C04443" w:rsidRPr="00C04443" w:rsidRDefault="00C04443" w:rsidP="00C04443">
      <w:pPr>
        <w:widowControl w:val="0"/>
        <w:spacing w:before="120"/>
        <w:jc w:val="center"/>
        <w:rPr>
          <w:b/>
          <w:bCs/>
          <w:i/>
          <w:iCs/>
        </w:rPr>
      </w:pPr>
      <w:r w:rsidRPr="00C04443">
        <w:rPr>
          <w:b/>
          <w:bCs/>
          <w:i/>
          <w:iCs/>
          <w:u w:val="single"/>
        </w:rPr>
        <w:t xml:space="preserve">КТКВК 250910 Надання кредитів підприємствам, установам, організаціям </w:t>
      </w:r>
    </w:p>
    <w:p w:rsidR="00C04443" w:rsidRPr="00C04443" w:rsidRDefault="00C04443" w:rsidP="00C04443">
      <w:pPr>
        <w:widowControl w:val="0"/>
        <w:ind w:firstLine="540"/>
        <w:jc w:val="both"/>
      </w:pPr>
      <w:r w:rsidRPr="00C04443">
        <w:t xml:space="preserve">Заборгованість по загальному фонду з пільгових кредитів, наданих протягом 1995-2001 років з місцевого бюджету на будівництво житлово-будівельним кооперативам відповідно до постанови Кабінету Міністрів України від 20.10.1992 № 593 «Про подальший розвиток житлово-будівельної кооперації» терміном на 30 років (строк погашення до 2025 року), станом на 01.01.2016 склала 47,5 тис.грн., в тому числі по ЖБК № 120 – 31,0 тис.грн. та об’єднанню співвласників багатоквартирного  будинку «Університетська,14» (по ЖБК № 124) – 16,5 тис.грн. </w:t>
      </w:r>
    </w:p>
    <w:p w:rsidR="00C04443" w:rsidRPr="00C04443" w:rsidRDefault="00C04443" w:rsidP="00C04443">
      <w:pPr>
        <w:keepNext/>
        <w:jc w:val="center"/>
        <w:outlineLvl w:val="0"/>
        <w:rPr>
          <w:b/>
          <w:bCs/>
          <w:i/>
          <w:u w:val="single"/>
        </w:rPr>
      </w:pPr>
      <w:r w:rsidRPr="00C04443">
        <w:rPr>
          <w:b/>
          <w:bCs/>
          <w:i/>
          <w:u w:val="single"/>
        </w:rPr>
        <w:t>ФІНАНСУВАННЯ</w:t>
      </w:r>
    </w:p>
    <w:p w:rsidR="00C04443" w:rsidRPr="00C04443" w:rsidRDefault="00C04443" w:rsidP="00C04443">
      <w:pPr>
        <w:spacing w:before="60"/>
        <w:ind w:firstLine="539"/>
        <w:jc w:val="both"/>
      </w:pPr>
      <w:r w:rsidRPr="00C04443">
        <w:t xml:space="preserve">За 2015 рік міський бюджет виконаний з </w:t>
      </w:r>
      <w:r w:rsidRPr="00C04443">
        <w:rPr>
          <w:b/>
        </w:rPr>
        <w:t>профіцитом</w:t>
      </w:r>
      <w:r w:rsidRPr="00C04443">
        <w:t xml:space="preserve"> у сумі 55 241,4 тис.грн., при планованому дефіциті у розмірі 150 254,0 тис.грн.  </w:t>
      </w:r>
    </w:p>
    <w:p w:rsidR="00C04443" w:rsidRPr="00C04443" w:rsidRDefault="00C04443" w:rsidP="00C04443">
      <w:pPr>
        <w:ind w:firstLine="539"/>
        <w:jc w:val="both"/>
      </w:pPr>
      <w:r w:rsidRPr="00C04443">
        <w:t xml:space="preserve">В тому числі по </w:t>
      </w:r>
      <w:r w:rsidRPr="00C04443">
        <w:rPr>
          <w:b/>
          <w:bCs/>
        </w:rPr>
        <w:t>загальному фонду</w:t>
      </w:r>
      <w:r w:rsidRPr="00C04443">
        <w:t xml:space="preserve"> </w:t>
      </w:r>
      <w:r w:rsidRPr="00C04443">
        <w:rPr>
          <w:b/>
        </w:rPr>
        <w:t>бюджет виконаний з профіцитом</w:t>
      </w:r>
      <w:r w:rsidRPr="00C04443">
        <w:t xml:space="preserve"> у сумі 243 785,5 тис.грн. (у зв’язку із збільшенням на кінець звітного періоду залишку коштів міського бюджету на 133 096,5 тис.грн. та передачею коштів із загального фонду до бюджету розвитку в сумі 110 689,0 тис.грн.), при планованому профіциті у сумі 104 984,4 тис.грн. </w:t>
      </w:r>
    </w:p>
    <w:p w:rsidR="00C04443" w:rsidRPr="00C04443" w:rsidRDefault="00C04443" w:rsidP="00C04443">
      <w:pPr>
        <w:ind w:firstLine="539"/>
        <w:jc w:val="both"/>
      </w:pPr>
      <w:r w:rsidRPr="00C04443">
        <w:t>На 01.01.2016 року залишок коштів загального фонду міського бюджету склав 140 570,8 тис.грн. (в тому числі за рахунок медичної та освітньої субвенцій з державного бюджету – 5 104,7 тис.грн.), що на 133 096,5 тис.грн. більше в порівнянні з початком року.</w:t>
      </w:r>
    </w:p>
    <w:p w:rsidR="00C04443" w:rsidRPr="00C04443" w:rsidRDefault="00C04443" w:rsidP="00C04443">
      <w:pPr>
        <w:ind w:firstLine="539"/>
        <w:jc w:val="both"/>
      </w:pPr>
      <w:r w:rsidRPr="00C04443">
        <w:t xml:space="preserve">По </w:t>
      </w:r>
      <w:r w:rsidRPr="00C04443">
        <w:rPr>
          <w:b/>
          <w:bCs/>
        </w:rPr>
        <w:t>спеціальному фонду</w:t>
      </w:r>
      <w:r w:rsidRPr="00C04443">
        <w:rPr>
          <w:b/>
        </w:rPr>
        <w:t xml:space="preserve"> міський бюджет виконаний з дефіцитом</w:t>
      </w:r>
      <w:r w:rsidRPr="00C04443">
        <w:t xml:space="preserve"> в сумі 188 544,1 тис.грн. (у зв’язку із зменшенням на кінець звітного періоду залишків коштів на рахунках бюджетних установ на 647,9 тис.грн., зменшенням залишку коштів міського бюджету на 78 046,6 тис.грн., передачею коштів із загального фонду до бюджету розвитку в сумі 110 689,0 тис.грн. та проведенням інших розрахунків на суму 839,4 тис.грн.), при </w:t>
      </w:r>
      <w:r w:rsidRPr="00C04443">
        <w:lastRenderedPageBreak/>
        <w:t>планованому дефіциті у сумі 255 238,4 тис.грн. Залишок коштів спеціального фонду міського бюджету станом на 01.01.2016 року склав 63 490,1 тис.грн. (в тому числі за рахунок коштів бюджету розвитку – 58 544,6 тис.грн.), що на 78 046,6 тис.грн. менше в порівнянні з початком року.</w:t>
      </w:r>
    </w:p>
    <w:p w:rsidR="00C04443" w:rsidRPr="00C04443" w:rsidRDefault="00C04443" w:rsidP="00C04443">
      <w:pPr>
        <w:ind w:firstLine="567"/>
        <w:jc w:val="both"/>
        <w:rPr>
          <w:bCs/>
        </w:rPr>
      </w:pPr>
      <w:r w:rsidRPr="00C04443">
        <w:rPr>
          <w:bCs/>
        </w:rPr>
        <w:t>Враховуючи наявність на рахунках спеціального фонду міського бюджету вільних залишків коштів, частина їх розміщується на депозитних рахунках в державних банківських установах відповідно до вимог постанови Кабінету Міністрів України від 12.01.2011 № 6 «Про Порядок розміщення тимчасово вільних коштів місцевих бюджетів на вкладних (депозитних) рахунках у банках» (із змінами).</w:t>
      </w:r>
    </w:p>
    <w:p w:rsidR="00C04443" w:rsidRPr="00C04443" w:rsidRDefault="00C04443" w:rsidP="00C04443">
      <w:pPr>
        <w:ind w:firstLine="567"/>
        <w:jc w:val="both"/>
      </w:pPr>
      <w:r w:rsidRPr="00C04443">
        <w:t xml:space="preserve">Відповідно до рішення Черкаської міської ради від 09.12.2014 № 2-540 «Про розміщення тимчасово вільних коштів бюджету міста на вкладних (депозитних) рахунках в установах банків у 2015 році», департаменту фінансової політики Черкаської міської ради надано дозвіл здійснювати на конкурсних засадах розміщення тимчасово вільних коштів міського бюджету на вкладних (депозитних) рахунках у банках згідно порядку, визначеного Кабінетом Міністрів України. </w:t>
      </w:r>
    </w:p>
    <w:p w:rsidR="00C04443" w:rsidRPr="00C04443" w:rsidRDefault="00C04443" w:rsidP="00C04443">
      <w:pPr>
        <w:ind w:firstLine="567"/>
        <w:jc w:val="both"/>
      </w:pPr>
      <w:r w:rsidRPr="00C04443">
        <w:t>Між департаментом фінансової політики Черкаської міської ради та публічним акціонерним товариством Акціонерним банком «Укргазбанк» укладено договір банківського строкового вкладу від 24.02.2015 №10/15/К з процентною ставкою за депозитом 19,6 відсотків річних.</w:t>
      </w:r>
      <w:r w:rsidRPr="00C04443">
        <w:rPr>
          <w:b/>
        </w:rPr>
        <w:t xml:space="preserve"> </w:t>
      </w:r>
      <w:r w:rsidRPr="00C04443">
        <w:t>Строк розміщення депозиту - до 18.12.2015.</w:t>
      </w:r>
    </w:p>
    <w:p w:rsidR="00C04443" w:rsidRPr="00C04443" w:rsidRDefault="00C04443" w:rsidP="00C04443">
      <w:pPr>
        <w:ind w:firstLine="600"/>
        <w:jc w:val="both"/>
      </w:pPr>
      <w:r w:rsidRPr="00C04443">
        <w:t xml:space="preserve">Протягом </w:t>
      </w:r>
      <w:r w:rsidRPr="00C04443">
        <w:rPr>
          <w:lang w:val="ru-RU"/>
        </w:rPr>
        <w:t>2015</w:t>
      </w:r>
      <w:r w:rsidRPr="00C04443">
        <w:t xml:space="preserve"> року на депозитних рахунках було розміщено тимчасово вільні кошти на загальну суму 326837,5 тис.грн., отримано доходу за 2015 рік в сумі 19275,4 тис.грн.</w:t>
      </w:r>
    </w:p>
    <w:p w:rsidR="00C04443" w:rsidRPr="00C04443" w:rsidRDefault="00C04443" w:rsidP="00C04443">
      <w:pPr>
        <w:widowControl w:val="0"/>
        <w:rPr>
          <w:b/>
          <w:bCs/>
          <w:highlight w:val="yellow"/>
        </w:rPr>
      </w:pPr>
    </w:p>
    <w:p w:rsidR="00C04443" w:rsidRPr="00C04443" w:rsidRDefault="00C04443" w:rsidP="00C04443">
      <w:pPr>
        <w:widowControl w:val="0"/>
        <w:rPr>
          <w:b/>
          <w:bCs/>
          <w:highlight w:val="yellow"/>
        </w:rPr>
      </w:pPr>
    </w:p>
    <w:p w:rsidR="00C04443" w:rsidRPr="00C04443" w:rsidRDefault="00C04443" w:rsidP="00C04443">
      <w:pPr>
        <w:widowControl w:val="0"/>
        <w:rPr>
          <w:b/>
          <w:bCs/>
        </w:rPr>
      </w:pPr>
      <w:r w:rsidRPr="00C04443">
        <w:rPr>
          <w:b/>
          <w:bCs/>
        </w:rPr>
        <w:t xml:space="preserve">Директор департаменту фінансової політики                   </w:t>
      </w:r>
      <w:r w:rsidRPr="00C04443">
        <w:rPr>
          <w:b/>
          <w:bCs/>
        </w:rPr>
        <w:tab/>
      </w:r>
      <w:r w:rsidRPr="00C04443">
        <w:rPr>
          <w:b/>
          <w:bCs/>
        </w:rPr>
        <w:tab/>
      </w:r>
      <w:r w:rsidRPr="00C04443">
        <w:rPr>
          <w:b/>
          <w:bCs/>
        </w:rPr>
        <w:tab/>
        <w:t xml:space="preserve">       Н.В. Джуган</w:t>
      </w:r>
    </w:p>
    <w:p w:rsidR="00C71590" w:rsidRPr="00C71590" w:rsidRDefault="00C71590" w:rsidP="00C71590">
      <w:pPr>
        <w:rPr>
          <w:bCs/>
          <w:iCs/>
          <w:lang w:eastAsia="x-none"/>
        </w:rPr>
      </w:pPr>
    </w:p>
    <w:p w:rsidR="00C71590" w:rsidRPr="00C71590" w:rsidRDefault="00C71590" w:rsidP="00C71590">
      <w:pPr>
        <w:rPr>
          <w:bCs/>
          <w:iCs/>
          <w:lang w:eastAsia="x-none"/>
        </w:rPr>
      </w:pPr>
    </w:p>
    <w:p w:rsidR="00C71590" w:rsidRPr="00C71590" w:rsidRDefault="00C71590" w:rsidP="00C71590">
      <w:pPr>
        <w:jc w:val="center"/>
        <w:rPr>
          <w:bCs/>
          <w:iCs/>
          <w:lang w:eastAsia="x-none"/>
        </w:rPr>
      </w:pPr>
    </w:p>
    <w:p w:rsidR="00C71590" w:rsidRPr="00C71590" w:rsidRDefault="00C71590" w:rsidP="00C71590">
      <w:pPr>
        <w:jc w:val="center"/>
        <w:rPr>
          <w:bCs/>
          <w:iCs/>
          <w:lang w:eastAsia="x-none"/>
        </w:rPr>
      </w:pPr>
    </w:p>
    <w:p w:rsidR="00C71590" w:rsidRPr="00C71590" w:rsidRDefault="00C71590" w:rsidP="00C71590">
      <w:pPr>
        <w:jc w:val="center"/>
        <w:rPr>
          <w:bCs/>
          <w:iCs/>
          <w:lang w:eastAsia="x-none"/>
        </w:rPr>
      </w:pPr>
    </w:p>
    <w:p w:rsidR="00C71590" w:rsidRPr="00C71590" w:rsidRDefault="00C71590" w:rsidP="00C71590">
      <w:pPr>
        <w:jc w:val="both"/>
        <w:rPr>
          <w:bCs/>
          <w:iCs/>
          <w:lang w:eastAsia="x-none"/>
        </w:rPr>
      </w:pPr>
    </w:p>
    <w:p w:rsidR="00C71590" w:rsidRPr="00C71590" w:rsidRDefault="00C71590" w:rsidP="00C71590">
      <w:pPr>
        <w:jc w:val="center"/>
        <w:rPr>
          <w:bCs/>
          <w:iCs/>
          <w:lang w:eastAsia="x-none"/>
        </w:rPr>
      </w:pPr>
    </w:p>
    <w:p w:rsidR="00C71590" w:rsidRPr="00C71590" w:rsidRDefault="00C71590" w:rsidP="00C71590">
      <w:pPr>
        <w:jc w:val="center"/>
        <w:rPr>
          <w:bCs/>
          <w:iCs/>
          <w:lang w:eastAsia="x-none"/>
        </w:rPr>
      </w:pPr>
    </w:p>
    <w:p w:rsidR="00C71590" w:rsidRPr="00C71590" w:rsidRDefault="00C71590" w:rsidP="00C71590">
      <w:pPr>
        <w:jc w:val="center"/>
        <w:rPr>
          <w:bCs/>
          <w:iCs/>
          <w:lang w:eastAsia="x-none"/>
        </w:rPr>
      </w:pPr>
    </w:p>
    <w:p w:rsidR="00C71590" w:rsidRPr="00C71590" w:rsidRDefault="00C71590" w:rsidP="00C71590">
      <w:pPr>
        <w:jc w:val="center"/>
        <w:rPr>
          <w:bCs/>
          <w:iCs/>
          <w:lang w:eastAsia="x-none"/>
        </w:rPr>
      </w:pPr>
    </w:p>
    <w:p w:rsidR="00C71590" w:rsidRPr="00C71590" w:rsidRDefault="00C71590" w:rsidP="00C71590">
      <w:pPr>
        <w:jc w:val="center"/>
        <w:rPr>
          <w:bCs/>
          <w:iCs/>
          <w:lang w:eastAsia="x-none"/>
        </w:rPr>
      </w:pPr>
    </w:p>
    <w:p w:rsidR="007B497D" w:rsidRPr="00582247" w:rsidRDefault="007B497D" w:rsidP="007B497D">
      <w:pPr>
        <w:ind w:firstLine="708"/>
        <w:jc w:val="both"/>
        <w:rPr>
          <w:sz w:val="28"/>
        </w:rPr>
      </w:pPr>
    </w:p>
    <w:p w:rsidR="007B497D" w:rsidRDefault="007B497D" w:rsidP="007B497D">
      <w:pPr>
        <w:ind w:firstLine="708"/>
        <w:rPr>
          <w:sz w:val="32"/>
          <w:highlight w:val="yellow"/>
        </w:rPr>
      </w:pPr>
    </w:p>
    <w:p w:rsidR="007B497D" w:rsidRDefault="007B497D" w:rsidP="007B497D">
      <w:pPr>
        <w:ind w:firstLine="708"/>
        <w:rPr>
          <w:sz w:val="32"/>
          <w:highlight w:val="yellow"/>
        </w:rPr>
      </w:pPr>
    </w:p>
    <w:p w:rsidR="007B497D" w:rsidRDefault="007B497D" w:rsidP="007B497D">
      <w:pPr>
        <w:ind w:firstLine="708"/>
        <w:rPr>
          <w:sz w:val="32"/>
          <w:highlight w:val="yellow"/>
        </w:rPr>
      </w:pPr>
    </w:p>
    <w:p w:rsidR="007B497D" w:rsidRDefault="007B497D" w:rsidP="007B497D">
      <w:pPr>
        <w:ind w:firstLine="708"/>
        <w:rPr>
          <w:sz w:val="32"/>
          <w:highlight w:val="yellow"/>
        </w:rPr>
      </w:pPr>
    </w:p>
    <w:p w:rsidR="007B497D" w:rsidRDefault="007B497D" w:rsidP="007B497D">
      <w:pPr>
        <w:ind w:firstLine="708"/>
        <w:rPr>
          <w:sz w:val="32"/>
          <w:highlight w:val="yellow"/>
        </w:rPr>
      </w:pPr>
    </w:p>
    <w:p w:rsidR="007B497D" w:rsidRPr="004B4E25" w:rsidRDefault="007B497D" w:rsidP="007B497D">
      <w:pPr>
        <w:ind w:firstLine="708"/>
        <w:rPr>
          <w:sz w:val="32"/>
          <w:highlight w:val="yellow"/>
        </w:rPr>
      </w:pPr>
    </w:p>
    <w:p w:rsidR="00B20907" w:rsidRDefault="00B20907"/>
    <w:sectPr w:rsidR="00B209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67A"/>
    <w:multiLevelType w:val="hybridMultilevel"/>
    <w:tmpl w:val="8CFAC302"/>
    <w:lvl w:ilvl="0" w:tplc="8286AEC6">
      <w:start w:val="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D43AE2"/>
    <w:multiLevelType w:val="hybridMultilevel"/>
    <w:tmpl w:val="32845E76"/>
    <w:lvl w:ilvl="0" w:tplc="32AEB160">
      <w:numFmt w:val="bullet"/>
      <w:lvlText w:val="-"/>
      <w:lvlJc w:val="left"/>
      <w:pPr>
        <w:tabs>
          <w:tab w:val="num" w:pos="1272"/>
        </w:tabs>
        <w:ind w:left="1272" w:hanging="70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10F296C"/>
    <w:multiLevelType w:val="hybridMultilevel"/>
    <w:tmpl w:val="95F2103A"/>
    <w:lvl w:ilvl="0" w:tplc="0994AD02">
      <w:numFmt w:val="bullet"/>
      <w:lvlText w:val="-"/>
      <w:lvlJc w:val="left"/>
      <w:pPr>
        <w:tabs>
          <w:tab w:val="num" w:pos="795"/>
        </w:tabs>
        <w:ind w:left="795" w:hanging="49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
    <w:nsid w:val="129F0DA9"/>
    <w:multiLevelType w:val="hybridMultilevel"/>
    <w:tmpl w:val="156AE75E"/>
    <w:lvl w:ilvl="0" w:tplc="90FA67FE">
      <w:start w:val="24"/>
      <w:numFmt w:val="bullet"/>
      <w:lvlText w:val="-"/>
      <w:lvlJc w:val="left"/>
      <w:pPr>
        <w:tabs>
          <w:tab w:val="num" w:pos="1335"/>
        </w:tabs>
        <w:ind w:left="1335" w:hanging="795"/>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4">
    <w:nsid w:val="1BD3229D"/>
    <w:multiLevelType w:val="hybridMultilevel"/>
    <w:tmpl w:val="4904A770"/>
    <w:lvl w:ilvl="0" w:tplc="BF32611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D8643DA"/>
    <w:multiLevelType w:val="hybridMultilevel"/>
    <w:tmpl w:val="46FC82EE"/>
    <w:lvl w:ilvl="0" w:tplc="FFFFFFFF">
      <w:start w:val="1"/>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6">
    <w:nsid w:val="25352C38"/>
    <w:multiLevelType w:val="hybridMultilevel"/>
    <w:tmpl w:val="A6E40FF0"/>
    <w:lvl w:ilvl="0" w:tplc="8AA42FA2">
      <w:start w:val="2015"/>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7">
    <w:nsid w:val="28E92EB5"/>
    <w:multiLevelType w:val="hybridMultilevel"/>
    <w:tmpl w:val="216C8EB2"/>
    <w:lvl w:ilvl="0" w:tplc="A94C3218">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BF20EB8"/>
    <w:multiLevelType w:val="hybridMultilevel"/>
    <w:tmpl w:val="36142E6C"/>
    <w:lvl w:ilvl="0" w:tplc="C582B256">
      <w:start w:val="2"/>
      <w:numFmt w:val="bullet"/>
      <w:lvlText w:val="-"/>
      <w:lvlJc w:val="left"/>
      <w:pPr>
        <w:tabs>
          <w:tab w:val="num" w:pos="2465"/>
        </w:tabs>
        <w:ind w:left="2465" w:hanging="360"/>
      </w:pPr>
      <w:rPr>
        <w:rFonts w:ascii="Times New Roman" w:eastAsia="Times New Roman" w:hAnsi="Times New Roman" w:cs="Times New Roman" w:hint="default"/>
      </w:rPr>
    </w:lvl>
    <w:lvl w:ilvl="1" w:tplc="04190003" w:tentative="1">
      <w:start w:val="1"/>
      <w:numFmt w:val="bullet"/>
      <w:lvlText w:val="o"/>
      <w:lvlJc w:val="left"/>
      <w:pPr>
        <w:tabs>
          <w:tab w:val="num" w:pos="3185"/>
        </w:tabs>
        <w:ind w:left="3185" w:hanging="360"/>
      </w:pPr>
      <w:rPr>
        <w:rFonts w:ascii="Courier New" w:hAnsi="Courier New" w:cs="Courier New" w:hint="default"/>
      </w:rPr>
    </w:lvl>
    <w:lvl w:ilvl="2" w:tplc="04190005" w:tentative="1">
      <w:start w:val="1"/>
      <w:numFmt w:val="bullet"/>
      <w:lvlText w:val=""/>
      <w:lvlJc w:val="left"/>
      <w:pPr>
        <w:tabs>
          <w:tab w:val="num" w:pos="3905"/>
        </w:tabs>
        <w:ind w:left="3905" w:hanging="360"/>
      </w:pPr>
      <w:rPr>
        <w:rFonts w:ascii="Wingdings" w:hAnsi="Wingdings" w:hint="default"/>
      </w:rPr>
    </w:lvl>
    <w:lvl w:ilvl="3" w:tplc="04190001" w:tentative="1">
      <w:start w:val="1"/>
      <w:numFmt w:val="bullet"/>
      <w:lvlText w:val=""/>
      <w:lvlJc w:val="left"/>
      <w:pPr>
        <w:tabs>
          <w:tab w:val="num" w:pos="4625"/>
        </w:tabs>
        <w:ind w:left="4625" w:hanging="360"/>
      </w:pPr>
      <w:rPr>
        <w:rFonts w:ascii="Symbol" w:hAnsi="Symbol" w:hint="default"/>
      </w:rPr>
    </w:lvl>
    <w:lvl w:ilvl="4" w:tplc="04190003" w:tentative="1">
      <w:start w:val="1"/>
      <w:numFmt w:val="bullet"/>
      <w:lvlText w:val="o"/>
      <w:lvlJc w:val="left"/>
      <w:pPr>
        <w:tabs>
          <w:tab w:val="num" w:pos="5345"/>
        </w:tabs>
        <w:ind w:left="5345" w:hanging="360"/>
      </w:pPr>
      <w:rPr>
        <w:rFonts w:ascii="Courier New" w:hAnsi="Courier New" w:cs="Courier New" w:hint="default"/>
      </w:rPr>
    </w:lvl>
    <w:lvl w:ilvl="5" w:tplc="04190005" w:tentative="1">
      <w:start w:val="1"/>
      <w:numFmt w:val="bullet"/>
      <w:lvlText w:val=""/>
      <w:lvlJc w:val="left"/>
      <w:pPr>
        <w:tabs>
          <w:tab w:val="num" w:pos="6065"/>
        </w:tabs>
        <w:ind w:left="6065" w:hanging="360"/>
      </w:pPr>
      <w:rPr>
        <w:rFonts w:ascii="Wingdings" w:hAnsi="Wingdings" w:hint="default"/>
      </w:rPr>
    </w:lvl>
    <w:lvl w:ilvl="6" w:tplc="04190001" w:tentative="1">
      <w:start w:val="1"/>
      <w:numFmt w:val="bullet"/>
      <w:lvlText w:val=""/>
      <w:lvlJc w:val="left"/>
      <w:pPr>
        <w:tabs>
          <w:tab w:val="num" w:pos="6785"/>
        </w:tabs>
        <w:ind w:left="6785" w:hanging="360"/>
      </w:pPr>
      <w:rPr>
        <w:rFonts w:ascii="Symbol" w:hAnsi="Symbol" w:hint="default"/>
      </w:rPr>
    </w:lvl>
    <w:lvl w:ilvl="7" w:tplc="04190003" w:tentative="1">
      <w:start w:val="1"/>
      <w:numFmt w:val="bullet"/>
      <w:lvlText w:val="o"/>
      <w:lvlJc w:val="left"/>
      <w:pPr>
        <w:tabs>
          <w:tab w:val="num" w:pos="7505"/>
        </w:tabs>
        <w:ind w:left="7505" w:hanging="360"/>
      </w:pPr>
      <w:rPr>
        <w:rFonts w:ascii="Courier New" w:hAnsi="Courier New" w:cs="Courier New" w:hint="default"/>
      </w:rPr>
    </w:lvl>
    <w:lvl w:ilvl="8" w:tplc="04190005" w:tentative="1">
      <w:start w:val="1"/>
      <w:numFmt w:val="bullet"/>
      <w:lvlText w:val=""/>
      <w:lvlJc w:val="left"/>
      <w:pPr>
        <w:tabs>
          <w:tab w:val="num" w:pos="8225"/>
        </w:tabs>
        <w:ind w:left="8225" w:hanging="360"/>
      </w:pPr>
      <w:rPr>
        <w:rFonts w:ascii="Wingdings" w:hAnsi="Wingdings" w:hint="default"/>
      </w:rPr>
    </w:lvl>
  </w:abstractNum>
  <w:abstractNum w:abstractNumId="9">
    <w:nsid w:val="38247427"/>
    <w:multiLevelType w:val="hybridMultilevel"/>
    <w:tmpl w:val="6CEAB812"/>
    <w:lvl w:ilvl="0" w:tplc="EC54ECD0">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3BB96F31"/>
    <w:multiLevelType w:val="hybridMultilevel"/>
    <w:tmpl w:val="EB42F16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34A2CC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435859B7"/>
    <w:multiLevelType w:val="hybridMultilevel"/>
    <w:tmpl w:val="FF422F18"/>
    <w:lvl w:ilvl="0" w:tplc="E912FFF4">
      <w:numFmt w:val="bullet"/>
      <w:lvlText w:val="-"/>
      <w:lvlJc w:val="left"/>
      <w:pPr>
        <w:tabs>
          <w:tab w:val="num" w:pos="1245"/>
        </w:tabs>
        <w:ind w:left="1245" w:hanging="7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446E6B9C"/>
    <w:multiLevelType w:val="hybridMultilevel"/>
    <w:tmpl w:val="979E2CE6"/>
    <w:lvl w:ilvl="0" w:tplc="C9AA23C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4BDA2A80"/>
    <w:multiLevelType w:val="hybridMultilevel"/>
    <w:tmpl w:val="721E586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F2F7150"/>
    <w:multiLevelType w:val="hybridMultilevel"/>
    <w:tmpl w:val="28280A6A"/>
    <w:lvl w:ilvl="0" w:tplc="81424896">
      <w:start w:val="3"/>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52944AD0"/>
    <w:multiLevelType w:val="hybridMultilevel"/>
    <w:tmpl w:val="03C29214"/>
    <w:lvl w:ilvl="0" w:tplc="DA685CF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55851400"/>
    <w:multiLevelType w:val="hybridMultilevel"/>
    <w:tmpl w:val="EDB24E0E"/>
    <w:lvl w:ilvl="0" w:tplc="46B278C0">
      <w:numFmt w:val="bullet"/>
      <w:lvlText w:val="-"/>
      <w:lvlJc w:val="left"/>
      <w:pPr>
        <w:tabs>
          <w:tab w:val="num" w:pos="1095"/>
        </w:tabs>
        <w:ind w:left="1095" w:hanging="360"/>
      </w:pPr>
      <w:rPr>
        <w:rFonts w:ascii="Times New Roman" w:eastAsia="Times New Roman" w:hAnsi="Times New Roman" w:cs="Times New Roman" w:hint="default"/>
      </w:rPr>
    </w:lvl>
    <w:lvl w:ilvl="1" w:tplc="04190003" w:tentative="1">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18">
    <w:nsid w:val="57DD059D"/>
    <w:multiLevelType w:val="hybridMultilevel"/>
    <w:tmpl w:val="5204DCF0"/>
    <w:lvl w:ilvl="0" w:tplc="0F5A4E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7C5151"/>
    <w:multiLevelType w:val="hybridMultilevel"/>
    <w:tmpl w:val="C6764042"/>
    <w:lvl w:ilvl="0" w:tplc="C0E2139C">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1D5BC5"/>
    <w:multiLevelType w:val="hybridMultilevel"/>
    <w:tmpl w:val="36EC6B78"/>
    <w:lvl w:ilvl="0" w:tplc="F71A413E">
      <w:numFmt w:val="bullet"/>
      <w:lvlText w:val="-"/>
      <w:lvlJc w:val="left"/>
      <w:pPr>
        <w:tabs>
          <w:tab w:val="num" w:pos="1380"/>
        </w:tabs>
        <w:ind w:left="1380" w:hanging="78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19"/>
  </w:num>
  <w:num w:numId="2">
    <w:abstractNumId w:val="0"/>
  </w:num>
  <w:num w:numId="3">
    <w:abstractNumId w:val="11"/>
  </w:num>
  <w:num w:numId="4">
    <w:abstractNumId w:val="3"/>
  </w:num>
  <w:num w:numId="5">
    <w:abstractNumId w:val="8"/>
  </w:num>
  <w:num w:numId="6">
    <w:abstractNumId w:val="14"/>
  </w:num>
  <w:num w:numId="7">
    <w:abstractNumId w:val="1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9"/>
  </w:num>
  <w:num w:numId="12">
    <w:abstractNumId w:val="2"/>
  </w:num>
  <w:num w:numId="13">
    <w:abstractNumId w:val="16"/>
  </w:num>
  <w:num w:numId="14">
    <w:abstractNumId w:val="6"/>
  </w:num>
  <w:num w:numId="15">
    <w:abstractNumId w:val="20"/>
  </w:num>
  <w:num w:numId="16">
    <w:abstractNumId w:val="17"/>
  </w:num>
  <w:num w:numId="17">
    <w:abstractNumId w:val="15"/>
  </w:num>
  <w:num w:numId="18">
    <w:abstractNumId w:val="7"/>
  </w:num>
  <w:num w:numId="19">
    <w:abstractNumId w:val="13"/>
  </w:num>
  <w:num w:numId="20">
    <w:abstractNumId w:val="4"/>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89"/>
    <w:rsid w:val="0027200A"/>
    <w:rsid w:val="007B497D"/>
    <w:rsid w:val="00B20907"/>
    <w:rsid w:val="00C04443"/>
    <w:rsid w:val="00C71590"/>
    <w:rsid w:val="00C74C66"/>
    <w:rsid w:val="00D31D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5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1590"/>
    <w:pPr>
      <w:keepNext/>
      <w:ind w:firstLine="708"/>
      <w:jc w:val="center"/>
      <w:outlineLvl w:val="1"/>
    </w:pPr>
    <w:rPr>
      <w:b/>
      <w:bCs/>
      <w:i/>
      <w:iCs/>
      <w:sz w:val="28"/>
      <w:u w:val="single"/>
    </w:rPr>
  </w:style>
  <w:style w:type="paragraph" w:styleId="3">
    <w:name w:val="heading 3"/>
    <w:basedOn w:val="a"/>
    <w:next w:val="a"/>
    <w:link w:val="30"/>
    <w:qFormat/>
    <w:rsid w:val="007B497D"/>
    <w:pPr>
      <w:keepNext/>
      <w:ind w:firstLine="708"/>
      <w:outlineLvl w:val="2"/>
    </w:pPr>
    <w:rPr>
      <w:sz w:val="28"/>
    </w:rPr>
  </w:style>
  <w:style w:type="paragraph" w:styleId="4">
    <w:name w:val="heading 4"/>
    <w:basedOn w:val="a"/>
    <w:next w:val="a"/>
    <w:link w:val="40"/>
    <w:qFormat/>
    <w:rsid w:val="007B497D"/>
    <w:pPr>
      <w:keepNext/>
      <w:jc w:val="both"/>
      <w:outlineLvl w:val="3"/>
    </w:pPr>
    <w:rPr>
      <w:sz w:val="28"/>
    </w:rPr>
  </w:style>
  <w:style w:type="paragraph" w:styleId="5">
    <w:name w:val="heading 5"/>
    <w:basedOn w:val="a"/>
    <w:next w:val="a"/>
    <w:link w:val="50"/>
    <w:unhideWhenUsed/>
    <w:qFormat/>
    <w:rsid w:val="00C74C6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71590"/>
    <w:pPr>
      <w:keepNext/>
      <w:jc w:val="center"/>
      <w:outlineLvl w:val="5"/>
    </w:pPr>
    <w:rPr>
      <w:i/>
      <w:iCs/>
    </w:rPr>
  </w:style>
  <w:style w:type="paragraph" w:styleId="8">
    <w:name w:val="heading 8"/>
    <w:basedOn w:val="a"/>
    <w:next w:val="a"/>
    <w:link w:val="80"/>
    <w:unhideWhenUsed/>
    <w:qFormat/>
    <w:rsid w:val="00C74C6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497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497D"/>
    <w:rPr>
      <w:rFonts w:ascii="Times New Roman" w:eastAsia="Times New Roman" w:hAnsi="Times New Roman" w:cs="Times New Roman"/>
      <w:sz w:val="28"/>
      <w:szCs w:val="24"/>
      <w:lang w:eastAsia="ru-RU"/>
    </w:rPr>
  </w:style>
  <w:style w:type="paragraph" w:styleId="a3">
    <w:name w:val="Body Text"/>
    <w:basedOn w:val="a"/>
    <w:link w:val="a4"/>
    <w:rsid w:val="007B497D"/>
    <w:pPr>
      <w:jc w:val="both"/>
    </w:pPr>
    <w:rPr>
      <w:sz w:val="28"/>
    </w:rPr>
  </w:style>
  <w:style w:type="character" w:customStyle="1" w:styleId="a4">
    <w:name w:val="Основной текст Знак"/>
    <w:basedOn w:val="a0"/>
    <w:link w:val="a3"/>
    <w:rsid w:val="007B497D"/>
    <w:rPr>
      <w:rFonts w:ascii="Times New Roman" w:eastAsia="Times New Roman" w:hAnsi="Times New Roman" w:cs="Times New Roman"/>
      <w:sz w:val="28"/>
      <w:szCs w:val="24"/>
      <w:lang w:eastAsia="ru-RU"/>
    </w:rPr>
  </w:style>
  <w:style w:type="paragraph" w:styleId="31">
    <w:name w:val="Body Text Indent 3"/>
    <w:basedOn w:val="a"/>
    <w:link w:val="32"/>
    <w:rsid w:val="007B497D"/>
    <w:pPr>
      <w:ind w:firstLine="708"/>
    </w:pPr>
    <w:rPr>
      <w:sz w:val="28"/>
    </w:rPr>
  </w:style>
  <w:style w:type="character" w:customStyle="1" w:styleId="32">
    <w:name w:val="Основной текст с отступом 3 Знак"/>
    <w:basedOn w:val="a0"/>
    <w:link w:val="31"/>
    <w:rsid w:val="007B497D"/>
    <w:rPr>
      <w:rFonts w:ascii="Times New Roman" w:eastAsia="Times New Roman" w:hAnsi="Times New Roman" w:cs="Times New Roman"/>
      <w:sz w:val="28"/>
      <w:szCs w:val="24"/>
      <w:lang w:eastAsia="ru-RU"/>
    </w:rPr>
  </w:style>
  <w:style w:type="paragraph" w:styleId="a5">
    <w:name w:val="Body Text Indent"/>
    <w:basedOn w:val="a"/>
    <w:link w:val="a6"/>
    <w:unhideWhenUsed/>
    <w:rsid w:val="00C74C66"/>
    <w:pPr>
      <w:spacing w:after="120"/>
      <w:ind w:left="283"/>
    </w:pPr>
  </w:style>
  <w:style w:type="character" w:customStyle="1" w:styleId="a6">
    <w:name w:val="Основной текст с отступом Знак"/>
    <w:basedOn w:val="a0"/>
    <w:link w:val="a5"/>
    <w:uiPriority w:val="99"/>
    <w:semiHidden/>
    <w:rsid w:val="00C74C66"/>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C74C66"/>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C74C66"/>
    <w:rPr>
      <w:rFonts w:asciiTheme="majorHAnsi" w:eastAsiaTheme="majorEastAsia" w:hAnsiTheme="majorHAnsi" w:cstheme="majorBidi"/>
      <w:color w:val="404040" w:themeColor="text1" w:themeTint="BF"/>
      <w:sz w:val="20"/>
      <w:szCs w:val="20"/>
      <w:lang w:eastAsia="ru-RU"/>
    </w:rPr>
  </w:style>
  <w:style w:type="paragraph" w:styleId="21">
    <w:name w:val="Body Text 2"/>
    <w:basedOn w:val="a"/>
    <w:link w:val="22"/>
    <w:unhideWhenUsed/>
    <w:rsid w:val="00C74C66"/>
    <w:pPr>
      <w:spacing w:after="120" w:line="480" w:lineRule="auto"/>
    </w:pPr>
  </w:style>
  <w:style w:type="character" w:customStyle="1" w:styleId="22">
    <w:name w:val="Основной текст 2 Знак"/>
    <w:basedOn w:val="a0"/>
    <w:link w:val="21"/>
    <w:rsid w:val="00C74C66"/>
    <w:rPr>
      <w:rFonts w:ascii="Times New Roman" w:eastAsia="Times New Roman" w:hAnsi="Times New Roman" w:cs="Times New Roman"/>
      <w:sz w:val="24"/>
      <w:szCs w:val="24"/>
      <w:lang w:eastAsia="ru-RU"/>
    </w:rPr>
  </w:style>
  <w:style w:type="paragraph" w:styleId="23">
    <w:name w:val="Body Text Indent 2"/>
    <w:basedOn w:val="a"/>
    <w:link w:val="24"/>
    <w:unhideWhenUsed/>
    <w:rsid w:val="00C74C66"/>
    <w:pPr>
      <w:spacing w:after="120" w:line="480" w:lineRule="auto"/>
      <w:ind w:left="283"/>
    </w:pPr>
  </w:style>
  <w:style w:type="character" w:customStyle="1" w:styleId="24">
    <w:name w:val="Основной текст с отступом 2 Знак"/>
    <w:basedOn w:val="a0"/>
    <w:link w:val="23"/>
    <w:uiPriority w:val="99"/>
    <w:semiHidden/>
    <w:rsid w:val="00C74C66"/>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C74C66"/>
    <w:rPr>
      <w:rFonts w:ascii="Tahoma" w:hAnsi="Tahoma" w:cs="Tahoma"/>
      <w:sz w:val="16"/>
      <w:szCs w:val="16"/>
    </w:rPr>
  </w:style>
  <w:style w:type="character" w:customStyle="1" w:styleId="a8">
    <w:name w:val="Текст выноски Знак"/>
    <w:basedOn w:val="a0"/>
    <w:link w:val="a7"/>
    <w:uiPriority w:val="99"/>
    <w:semiHidden/>
    <w:rsid w:val="00C74C66"/>
    <w:rPr>
      <w:rFonts w:ascii="Tahoma" w:eastAsia="Times New Roman" w:hAnsi="Tahoma" w:cs="Tahoma"/>
      <w:sz w:val="16"/>
      <w:szCs w:val="16"/>
      <w:lang w:eastAsia="ru-RU"/>
    </w:rPr>
  </w:style>
  <w:style w:type="character" w:customStyle="1" w:styleId="10">
    <w:name w:val="Заголовок 1 Знак"/>
    <w:basedOn w:val="a0"/>
    <w:link w:val="1"/>
    <w:uiPriority w:val="9"/>
    <w:rsid w:val="00C71590"/>
    <w:rPr>
      <w:rFonts w:asciiTheme="majorHAnsi" w:eastAsiaTheme="majorEastAsia" w:hAnsiTheme="majorHAnsi" w:cstheme="majorBidi"/>
      <w:b/>
      <w:bCs/>
      <w:color w:val="365F91" w:themeColor="accent1" w:themeShade="BF"/>
      <w:sz w:val="28"/>
      <w:szCs w:val="28"/>
      <w:lang w:eastAsia="ru-RU"/>
    </w:rPr>
  </w:style>
  <w:style w:type="paragraph" w:styleId="33">
    <w:name w:val="Body Text 3"/>
    <w:basedOn w:val="a"/>
    <w:link w:val="34"/>
    <w:unhideWhenUsed/>
    <w:rsid w:val="00C71590"/>
    <w:pPr>
      <w:spacing w:after="120"/>
    </w:pPr>
    <w:rPr>
      <w:sz w:val="16"/>
      <w:szCs w:val="16"/>
    </w:rPr>
  </w:style>
  <w:style w:type="character" w:customStyle="1" w:styleId="34">
    <w:name w:val="Основной текст 3 Знак"/>
    <w:basedOn w:val="a0"/>
    <w:link w:val="33"/>
    <w:rsid w:val="00C71590"/>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C71590"/>
    <w:rPr>
      <w:rFonts w:ascii="Times New Roman" w:eastAsia="Times New Roman" w:hAnsi="Times New Roman" w:cs="Times New Roman"/>
      <w:b/>
      <w:bCs/>
      <w:i/>
      <w:iCs/>
      <w:sz w:val="28"/>
      <w:szCs w:val="24"/>
      <w:u w:val="single"/>
      <w:lang w:eastAsia="ru-RU"/>
    </w:rPr>
  </w:style>
  <w:style w:type="character" w:customStyle="1" w:styleId="60">
    <w:name w:val="Заголовок 6 Знак"/>
    <w:basedOn w:val="a0"/>
    <w:link w:val="6"/>
    <w:rsid w:val="00C71590"/>
    <w:rPr>
      <w:rFonts w:ascii="Times New Roman" w:eastAsia="Times New Roman" w:hAnsi="Times New Roman" w:cs="Times New Roman"/>
      <w:i/>
      <w:iCs/>
      <w:sz w:val="24"/>
      <w:szCs w:val="24"/>
      <w:lang w:eastAsia="ru-RU"/>
    </w:rPr>
  </w:style>
  <w:style w:type="paragraph" w:styleId="a9">
    <w:name w:val="Plain Text"/>
    <w:basedOn w:val="a"/>
    <w:link w:val="aa"/>
    <w:rsid w:val="00C71590"/>
    <w:rPr>
      <w:rFonts w:ascii="Courier New" w:hAnsi="Courier New"/>
      <w:sz w:val="20"/>
      <w:szCs w:val="20"/>
      <w:lang w:eastAsia="x-none"/>
    </w:rPr>
  </w:style>
  <w:style w:type="character" w:customStyle="1" w:styleId="aa">
    <w:name w:val="Текст Знак"/>
    <w:basedOn w:val="a0"/>
    <w:link w:val="a9"/>
    <w:rsid w:val="00C71590"/>
    <w:rPr>
      <w:rFonts w:ascii="Courier New" w:eastAsia="Times New Roman" w:hAnsi="Courier New" w:cs="Times New Roman"/>
      <w:sz w:val="20"/>
      <w:szCs w:val="20"/>
      <w:lang w:eastAsia="x-none"/>
    </w:rPr>
  </w:style>
  <w:style w:type="paragraph" w:styleId="ab">
    <w:name w:val="header"/>
    <w:basedOn w:val="a"/>
    <w:link w:val="ac"/>
    <w:rsid w:val="00C71590"/>
    <w:pPr>
      <w:tabs>
        <w:tab w:val="center" w:pos="4677"/>
        <w:tab w:val="right" w:pos="9355"/>
      </w:tabs>
    </w:pPr>
    <w:rPr>
      <w:lang w:eastAsia="x-none"/>
    </w:rPr>
  </w:style>
  <w:style w:type="character" w:customStyle="1" w:styleId="ac">
    <w:name w:val="Верхний колонтитул Знак"/>
    <w:basedOn w:val="a0"/>
    <w:link w:val="ab"/>
    <w:rsid w:val="00C71590"/>
    <w:rPr>
      <w:rFonts w:ascii="Times New Roman" w:eastAsia="Times New Roman" w:hAnsi="Times New Roman" w:cs="Times New Roman"/>
      <w:sz w:val="24"/>
      <w:szCs w:val="24"/>
      <w:lang w:eastAsia="x-none"/>
    </w:rPr>
  </w:style>
  <w:style w:type="character" w:styleId="ad">
    <w:name w:val="page number"/>
    <w:basedOn w:val="a0"/>
    <w:rsid w:val="00C71590"/>
  </w:style>
  <w:style w:type="paragraph" w:styleId="ae">
    <w:name w:val="footer"/>
    <w:basedOn w:val="a"/>
    <w:link w:val="af"/>
    <w:rsid w:val="00C71590"/>
    <w:pPr>
      <w:tabs>
        <w:tab w:val="center" w:pos="4677"/>
        <w:tab w:val="right" w:pos="9355"/>
      </w:tabs>
    </w:pPr>
  </w:style>
  <w:style w:type="character" w:customStyle="1" w:styleId="af">
    <w:name w:val="Нижний колонтитул Знак"/>
    <w:basedOn w:val="a0"/>
    <w:link w:val="ae"/>
    <w:rsid w:val="00C71590"/>
    <w:rPr>
      <w:rFonts w:ascii="Times New Roman" w:eastAsia="Times New Roman" w:hAnsi="Times New Roman" w:cs="Times New Roman"/>
      <w:sz w:val="24"/>
      <w:szCs w:val="24"/>
      <w:lang w:eastAsia="ru-RU"/>
    </w:rPr>
  </w:style>
  <w:style w:type="paragraph" w:customStyle="1" w:styleId="11">
    <w:name w:val="Обычный1"/>
    <w:rsid w:val="00C71590"/>
    <w:pPr>
      <w:spacing w:after="0" w:line="240" w:lineRule="auto"/>
    </w:pPr>
    <w:rPr>
      <w:rFonts w:ascii="Times New Roman" w:eastAsia="Times New Roman" w:hAnsi="Times New Roman" w:cs="Times New Roman"/>
      <w:snapToGrid w:val="0"/>
      <w:sz w:val="20"/>
      <w:szCs w:val="20"/>
      <w:lang w:val="ru-RU" w:eastAsia="ru-RU"/>
    </w:rPr>
  </w:style>
  <w:style w:type="paragraph" w:customStyle="1" w:styleId="25">
    <w:name w:val="Знак2 Знак Знак"/>
    <w:basedOn w:val="a"/>
    <w:rsid w:val="00C71590"/>
    <w:rPr>
      <w:rFonts w:ascii="Verdana" w:hAnsi="Verdana" w:cs="Verdana"/>
      <w:sz w:val="20"/>
      <w:szCs w:val="20"/>
      <w:lang w:val="en-US" w:eastAsia="en-US"/>
    </w:rPr>
  </w:style>
  <w:style w:type="paragraph" w:customStyle="1" w:styleId="af0">
    <w:name w:val="Знак"/>
    <w:basedOn w:val="a"/>
    <w:rsid w:val="00C71590"/>
    <w:rPr>
      <w:rFonts w:ascii="Verdana" w:hAnsi="Verdana" w:cs="Verdana"/>
      <w:sz w:val="20"/>
      <w:szCs w:val="20"/>
      <w:lang w:val="en-US" w:eastAsia="en-US"/>
    </w:rPr>
  </w:style>
  <w:style w:type="paragraph" w:customStyle="1" w:styleId="af1">
    <w:name w:val="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12">
    <w:name w:val="Знак Знак Знак Знак Знак Знак Знак Знак Знак Знак1 Знак Знак"/>
    <w:basedOn w:val="a"/>
    <w:rsid w:val="00C71590"/>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26">
    <w:name w:val="Знак2 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13">
    <w:name w:val="Знак Знак Знак Знак Знак Знак Знак1 Знак Знак Знак Знак Знак"/>
    <w:basedOn w:val="a"/>
    <w:rsid w:val="00C71590"/>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27">
    <w:name w:val="Знак2 Знак Знак Знак Знак Знак Знак 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28">
    <w:name w:val="Знак2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14">
    <w:name w:val="Знак1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15">
    <w:name w:val="Знак Знак Знак Знак1 Знак Знак Знак"/>
    <w:basedOn w:val="a"/>
    <w:rsid w:val="00C71590"/>
    <w:rPr>
      <w:rFonts w:ascii="Verdana" w:hAnsi="Verdana" w:cs="Verdana"/>
      <w:sz w:val="20"/>
      <w:szCs w:val="20"/>
      <w:lang w:val="en-US" w:eastAsia="en-US"/>
    </w:rPr>
  </w:style>
  <w:style w:type="paragraph" w:customStyle="1" w:styleId="16">
    <w:name w:val="Знак Знак1 Знак Знак Знак Знак Знак Знак Знак"/>
    <w:basedOn w:val="a"/>
    <w:rsid w:val="00C71590"/>
    <w:rPr>
      <w:rFonts w:ascii="Verdana" w:hAnsi="Verdana" w:cs="Verdana"/>
      <w:sz w:val="20"/>
      <w:szCs w:val="20"/>
      <w:lang w:val="en-US" w:eastAsia="en-US"/>
    </w:rPr>
  </w:style>
  <w:style w:type="paragraph" w:customStyle="1" w:styleId="af6">
    <w:name w:val="Знак Знак Знак"/>
    <w:basedOn w:val="a"/>
    <w:rsid w:val="00C71590"/>
    <w:rPr>
      <w:rFonts w:ascii="Verdana" w:hAnsi="Verdana" w:cs="Verdana"/>
      <w:sz w:val="20"/>
      <w:szCs w:val="20"/>
      <w:lang w:val="en-US" w:eastAsia="en-US"/>
    </w:rPr>
  </w:style>
  <w:style w:type="paragraph" w:customStyle="1" w:styleId="af7">
    <w:name w:val="Знак Знак Знак Знак"/>
    <w:basedOn w:val="a"/>
    <w:rsid w:val="00C71590"/>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29">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17">
    <w:name w:val="Знак Знак Знак Знак1"/>
    <w:basedOn w:val="a"/>
    <w:rsid w:val="00C71590"/>
    <w:rPr>
      <w:rFonts w:ascii="Verdana" w:hAnsi="Verdana" w:cs="Verdana"/>
      <w:sz w:val="20"/>
      <w:szCs w:val="20"/>
      <w:lang w:val="en-US" w:eastAsia="en-US"/>
    </w:r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styleId="af8">
    <w:name w:val="Title"/>
    <w:basedOn w:val="a"/>
    <w:link w:val="af9"/>
    <w:qFormat/>
    <w:rsid w:val="00C71590"/>
    <w:pPr>
      <w:ind w:left="-720"/>
      <w:jc w:val="center"/>
    </w:pPr>
    <w:rPr>
      <w:b/>
      <w:bCs/>
      <w:sz w:val="28"/>
      <w:lang w:val="x-none" w:eastAsia="x-none"/>
    </w:rPr>
  </w:style>
  <w:style w:type="character" w:customStyle="1" w:styleId="af9">
    <w:name w:val="Название Знак"/>
    <w:basedOn w:val="a0"/>
    <w:link w:val="af8"/>
    <w:rsid w:val="00C71590"/>
    <w:rPr>
      <w:rFonts w:ascii="Times New Roman" w:eastAsia="Times New Roman" w:hAnsi="Times New Roman" w:cs="Times New Roman"/>
      <w:b/>
      <w:bCs/>
      <w:sz w:val="28"/>
      <w:szCs w:val="24"/>
      <w:lang w:val="x-none" w:eastAsia="x-none"/>
    </w:rPr>
  </w:style>
  <w:style w:type="paragraph" w:styleId="afa">
    <w:name w:val="Normal (Web)"/>
    <w:basedOn w:val="a"/>
    <w:uiPriority w:val="99"/>
    <w:semiHidden/>
    <w:unhideWhenUsed/>
    <w:rsid w:val="00C71590"/>
    <w:pPr>
      <w:spacing w:before="100" w:beforeAutospacing="1" w:after="100" w:afterAutospacing="1"/>
    </w:pPr>
    <w:rPr>
      <w:rFonts w:eastAsiaTheme="minorEastAsia"/>
      <w:lang w:eastAsia="uk-UA"/>
    </w:rPr>
  </w:style>
  <w:style w:type="numbering" w:customStyle="1" w:styleId="18">
    <w:name w:val="Нет списка1"/>
    <w:next w:val="a2"/>
    <w:semiHidden/>
    <w:rsid w:val="00C04443"/>
  </w:style>
  <w:style w:type="character" w:styleId="afb">
    <w:name w:val="Hyperlink"/>
    <w:rsid w:val="00C04443"/>
    <w:rPr>
      <w:color w:val="0000FF"/>
      <w:u w:val="single"/>
    </w:rPr>
  </w:style>
  <w:style w:type="paragraph" w:customStyle="1" w:styleId="19">
    <w:name w:val="Знак1 Знак Знак Знак Знак Знак Знак Знак Знак Знак Знак Знак Знак Знак Знак Знак"/>
    <w:basedOn w:val="a"/>
    <w:rsid w:val="00C04443"/>
    <w:rPr>
      <w:rFonts w:ascii="Verdana" w:hAnsi="Verdana" w:cs="Verdana"/>
      <w:sz w:val="20"/>
      <w:szCs w:val="20"/>
      <w:lang w:val="en-US" w:eastAsia="en-US"/>
    </w:rPr>
  </w:style>
  <w:style w:type="character" w:customStyle="1" w:styleId="rvts0">
    <w:name w:val="rvts0"/>
    <w:basedOn w:val="a0"/>
    <w:rsid w:val="00C04443"/>
  </w:style>
  <w:style w:type="character" w:customStyle="1" w:styleId="1a">
    <w:name w:val="Знак Знак1"/>
    <w:locked/>
    <w:rsid w:val="00C04443"/>
    <w:rPr>
      <w:b/>
      <w:bCs/>
      <w:sz w:val="24"/>
      <w:szCs w:val="24"/>
      <w:lang w:val="uk-UA" w:eastAsia="ru-RU" w:bidi="ar-SA"/>
    </w:rPr>
  </w:style>
  <w:style w:type="paragraph" w:customStyle="1" w:styleId="afc">
    <w:name w:val="Знак Знак Знак Знак"/>
    <w:basedOn w:val="a"/>
    <w:rsid w:val="00C04443"/>
    <w:rPr>
      <w:rFonts w:ascii="Verdana" w:hAnsi="Verdana" w:cs="Verdana"/>
      <w:sz w:val="20"/>
      <w:szCs w:val="20"/>
      <w:lang w:val="en-US" w:eastAsia="en-US"/>
    </w:rPr>
  </w:style>
  <w:style w:type="character" w:customStyle="1" w:styleId="apple-style-span">
    <w:name w:val="apple-style-span"/>
    <w:rsid w:val="00C0444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5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1590"/>
    <w:pPr>
      <w:keepNext/>
      <w:ind w:firstLine="708"/>
      <w:jc w:val="center"/>
      <w:outlineLvl w:val="1"/>
    </w:pPr>
    <w:rPr>
      <w:b/>
      <w:bCs/>
      <w:i/>
      <w:iCs/>
      <w:sz w:val="28"/>
      <w:u w:val="single"/>
    </w:rPr>
  </w:style>
  <w:style w:type="paragraph" w:styleId="3">
    <w:name w:val="heading 3"/>
    <w:basedOn w:val="a"/>
    <w:next w:val="a"/>
    <w:link w:val="30"/>
    <w:qFormat/>
    <w:rsid w:val="007B497D"/>
    <w:pPr>
      <w:keepNext/>
      <w:ind w:firstLine="708"/>
      <w:outlineLvl w:val="2"/>
    </w:pPr>
    <w:rPr>
      <w:sz w:val="28"/>
    </w:rPr>
  </w:style>
  <w:style w:type="paragraph" w:styleId="4">
    <w:name w:val="heading 4"/>
    <w:basedOn w:val="a"/>
    <w:next w:val="a"/>
    <w:link w:val="40"/>
    <w:qFormat/>
    <w:rsid w:val="007B497D"/>
    <w:pPr>
      <w:keepNext/>
      <w:jc w:val="both"/>
      <w:outlineLvl w:val="3"/>
    </w:pPr>
    <w:rPr>
      <w:sz w:val="28"/>
    </w:rPr>
  </w:style>
  <w:style w:type="paragraph" w:styleId="5">
    <w:name w:val="heading 5"/>
    <w:basedOn w:val="a"/>
    <w:next w:val="a"/>
    <w:link w:val="50"/>
    <w:unhideWhenUsed/>
    <w:qFormat/>
    <w:rsid w:val="00C74C6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71590"/>
    <w:pPr>
      <w:keepNext/>
      <w:jc w:val="center"/>
      <w:outlineLvl w:val="5"/>
    </w:pPr>
    <w:rPr>
      <w:i/>
      <w:iCs/>
    </w:rPr>
  </w:style>
  <w:style w:type="paragraph" w:styleId="8">
    <w:name w:val="heading 8"/>
    <w:basedOn w:val="a"/>
    <w:next w:val="a"/>
    <w:link w:val="80"/>
    <w:unhideWhenUsed/>
    <w:qFormat/>
    <w:rsid w:val="00C74C6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497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497D"/>
    <w:rPr>
      <w:rFonts w:ascii="Times New Roman" w:eastAsia="Times New Roman" w:hAnsi="Times New Roman" w:cs="Times New Roman"/>
      <w:sz w:val="28"/>
      <w:szCs w:val="24"/>
      <w:lang w:eastAsia="ru-RU"/>
    </w:rPr>
  </w:style>
  <w:style w:type="paragraph" w:styleId="a3">
    <w:name w:val="Body Text"/>
    <w:basedOn w:val="a"/>
    <w:link w:val="a4"/>
    <w:rsid w:val="007B497D"/>
    <w:pPr>
      <w:jc w:val="both"/>
    </w:pPr>
    <w:rPr>
      <w:sz w:val="28"/>
    </w:rPr>
  </w:style>
  <w:style w:type="character" w:customStyle="1" w:styleId="a4">
    <w:name w:val="Основной текст Знак"/>
    <w:basedOn w:val="a0"/>
    <w:link w:val="a3"/>
    <w:rsid w:val="007B497D"/>
    <w:rPr>
      <w:rFonts w:ascii="Times New Roman" w:eastAsia="Times New Roman" w:hAnsi="Times New Roman" w:cs="Times New Roman"/>
      <w:sz w:val="28"/>
      <w:szCs w:val="24"/>
      <w:lang w:eastAsia="ru-RU"/>
    </w:rPr>
  </w:style>
  <w:style w:type="paragraph" w:styleId="31">
    <w:name w:val="Body Text Indent 3"/>
    <w:basedOn w:val="a"/>
    <w:link w:val="32"/>
    <w:rsid w:val="007B497D"/>
    <w:pPr>
      <w:ind w:firstLine="708"/>
    </w:pPr>
    <w:rPr>
      <w:sz w:val="28"/>
    </w:rPr>
  </w:style>
  <w:style w:type="character" w:customStyle="1" w:styleId="32">
    <w:name w:val="Основной текст с отступом 3 Знак"/>
    <w:basedOn w:val="a0"/>
    <w:link w:val="31"/>
    <w:rsid w:val="007B497D"/>
    <w:rPr>
      <w:rFonts w:ascii="Times New Roman" w:eastAsia="Times New Roman" w:hAnsi="Times New Roman" w:cs="Times New Roman"/>
      <w:sz w:val="28"/>
      <w:szCs w:val="24"/>
      <w:lang w:eastAsia="ru-RU"/>
    </w:rPr>
  </w:style>
  <w:style w:type="paragraph" w:styleId="a5">
    <w:name w:val="Body Text Indent"/>
    <w:basedOn w:val="a"/>
    <w:link w:val="a6"/>
    <w:unhideWhenUsed/>
    <w:rsid w:val="00C74C66"/>
    <w:pPr>
      <w:spacing w:after="120"/>
      <w:ind w:left="283"/>
    </w:pPr>
  </w:style>
  <w:style w:type="character" w:customStyle="1" w:styleId="a6">
    <w:name w:val="Основной текст с отступом Знак"/>
    <w:basedOn w:val="a0"/>
    <w:link w:val="a5"/>
    <w:uiPriority w:val="99"/>
    <w:semiHidden/>
    <w:rsid w:val="00C74C66"/>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C74C66"/>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C74C66"/>
    <w:rPr>
      <w:rFonts w:asciiTheme="majorHAnsi" w:eastAsiaTheme="majorEastAsia" w:hAnsiTheme="majorHAnsi" w:cstheme="majorBidi"/>
      <w:color w:val="404040" w:themeColor="text1" w:themeTint="BF"/>
      <w:sz w:val="20"/>
      <w:szCs w:val="20"/>
      <w:lang w:eastAsia="ru-RU"/>
    </w:rPr>
  </w:style>
  <w:style w:type="paragraph" w:styleId="21">
    <w:name w:val="Body Text 2"/>
    <w:basedOn w:val="a"/>
    <w:link w:val="22"/>
    <w:unhideWhenUsed/>
    <w:rsid w:val="00C74C66"/>
    <w:pPr>
      <w:spacing w:after="120" w:line="480" w:lineRule="auto"/>
    </w:pPr>
  </w:style>
  <w:style w:type="character" w:customStyle="1" w:styleId="22">
    <w:name w:val="Основной текст 2 Знак"/>
    <w:basedOn w:val="a0"/>
    <w:link w:val="21"/>
    <w:rsid w:val="00C74C66"/>
    <w:rPr>
      <w:rFonts w:ascii="Times New Roman" w:eastAsia="Times New Roman" w:hAnsi="Times New Roman" w:cs="Times New Roman"/>
      <w:sz w:val="24"/>
      <w:szCs w:val="24"/>
      <w:lang w:eastAsia="ru-RU"/>
    </w:rPr>
  </w:style>
  <w:style w:type="paragraph" w:styleId="23">
    <w:name w:val="Body Text Indent 2"/>
    <w:basedOn w:val="a"/>
    <w:link w:val="24"/>
    <w:unhideWhenUsed/>
    <w:rsid w:val="00C74C66"/>
    <w:pPr>
      <w:spacing w:after="120" w:line="480" w:lineRule="auto"/>
      <w:ind w:left="283"/>
    </w:pPr>
  </w:style>
  <w:style w:type="character" w:customStyle="1" w:styleId="24">
    <w:name w:val="Основной текст с отступом 2 Знак"/>
    <w:basedOn w:val="a0"/>
    <w:link w:val="23"/>
    <w:uiPriority w:val="99"/>
    <w:semiHidden/>
    <w:rsid w:val="00C74C66"/>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C74C66"/>
    <w:rPr>
      <w:rFonts w:ascii="Tahoma" w:hAnsi="Tahoma" w:cs="Tahoma"/>
      <w:sz w:val="16"/>
      <w:szCs w:val="16"/>
    </w:rPr>
  </w:style>
  <w:style w:type="character" w:customStyle="1" w:styleId="a8">
    <w:name w:val="Текст выноски Знак"/>
    <w:basedOn w:val="a0"/>
    <w:link w:val="a7"/>
    <w:uiPriority w:val="99"/>
    <w:semiHidden/>
    <w:rsid w:val="00C74C66"/>
    <w:rPr>
      <w:rFonts w:ascii="Tahoma" w:eastAsia="Times New Roman" w:hAnsi="Tahoma" w:cs="Tahoma"/>
      <w:sz w:val="16"/>
      <w:szCs w:val="16"/>
      <w:lang w:eastAsia="ru-RU"/>
    </w:rPr>
  </w:style>
  <w:style w:type="character" w:customStyle="1" w:styleId="10">
    <w:name w:val="Заголовок 1 Знак"/>
    <w:basedOn w:val="a0"/>
    <w:link w:val="1"/>
    <w:uiPriority w:val="9"/>
    <w:rsid w:val="00C71590"/>
    <w:rPr>
      <w:rFonts w:asciiTheme="majorHAnsi" w:eastAsiaTheme="majorEastAsia" w:hAnsiTheme="majorHAnsi" w:cstheme="majorBidi"/>
      <w:b/>
      <w:bCs/>
      <w:color w:val="365F91" w:themeColor="accent1" w:themeShade="BF"/>
      <w:sz w:val="28"/>
      <w:szCs w:val="28"/>
      <w:lang w:eastAsia="ru-RU"/>
    </w:rPr>
  </w:style>
  <w:style w:type="paragraph" w:styleId="33">
    <w:name w:val="Body Text 3"/>
    <w:basedOn w:val="a"/>
    <w:link w:val="34"/>
    <w:unhideWhenUsed/>
    <w:rsid w:val="00C71590"/>
    <w:pPr>
      <w:spacing w:after="120"/>
    </w:pPr>
    <w:rPr>
      <w:sz w:val="16"/>
      <w:szCs w:val="16"/>
    </w:rPr>
  </w:style>
  <w:style w:type="character" w:customStyle="1" w:styleId="34">
    <w:name w:val="Основной текст 3 Знак"/>
    <w:basedOn w:val="a0"/>
    <w:link w:val="33"/>
    <w:rsid w:val="00C71590"/>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C71590"/>
    <w:rPr>
      <w:rFonts w:ascii="Times New Roman" w:eastAsia="Times New Roman" w:hAnsi="Times New Roman" w:cs="Times New Roman"/>
      <w:b/>
      <w:bCs/>
      <w:i/>
      <w:iCs/>
      <w:sz w:val="28"/>
      <w:szCs w:val="24"/>
      <w:u w:val="single"/>
      <w:lang w:eastAsia="ru-RU"/>
    </w:rPr>
  </w:style>
  <w:style w:type="character" w:customStyle="1" w:styleId="60">
    <w:name w:val="Заголовок 6 Знак"/>
    <w:basedOn w:val="a0"/>
    <w:link w:val="6"/>
    <w:rsid w:val="00C71590"/>
    <w:rPr>
      <w:rFonts w:ascii="Times New Roman" w:eastAsia="Times New Roman" w:hAnsi="Times New Roman" w:cs="Times New Roman"/>
      <w:i/>
      <w:iCs/>
      <w:sz w:val="24"/>
      <w:szCs w:val="24"/>
      <w:lang w:eastAsia="ru-RU"/>
    </w:rPr>
  </w:style>
  <w:style w:type="paragraph" w:styleId="a9">
    <w:name w:val="Plain Text"/>
    <w:basedOn w:val="a"/>
    <w:link w:val="aa"/>
    <w:rsid w:val="00C71590"/>
    <w:rPr>
      <w:rFonts w:ascii="Courier New" w:hAnsi="Courier New"/>
      <w:sz w:val="20"/>
      <w:szCs w:val="20"/>
      <w:lang w:eastAsia="x-none"/>
    </w:rPr>
  </w:style>
  <w:style w:type="character" w:customStyle="1" w:styleId="aa">
    <w:name w:val="Текст Знак"/>
    <w:basedOn w:val="a0"/>
    <w:link w:val="a9"/>
    <w:rsid w:val="00C71590"/>
    <w:rPr>
      <w:rFonts w:ascii="Courier New" w:eastAsia="Times New Roman" w:hAnsi="Courier New" w:cs="Times New Roman"/>
      <w:sz w:val="20"/>
      <w:szCs w:val="20"/>
      <w:lang w:eastAsia="x-none"/>
    </w:rPr>
  </w:style>
  <w:style w:type="paragraph" w:styleId="ab">
    <w:name w:val="header"/>
    <w:basedOn w:val="a"/>
    <w:link w:val="ac"/>
    <w:rsid w:val="00C71590"/>
    <w:pPr>
      <w:tabs>
        <w:tab w:val="center" w:pos="4677"/>
        <w:tab w:val="right" w:pos="9355"/>
      </w:tabs>
    </w:pPr>
    <w:rPr>
      <w:lang w:eastAsia="x-none"/>
    </w:rPr>
  </w:style>
  <w:style w:type="character" w:customStyle="1" w:styleId="ac">
    <w:name w:val="Верхний колонтитул Знак"/>
    <w:basedOn w:val="a0"/>
    <w:link w:val="ab"/>
    <w:rsid w:val="00C71590"/>
    <w:rPr>
      <w:rFonts w:ascii="Times New Roman" w:eastAsia="Times New Roman" w:hAnsi="Times New Roman" w:cs="Times New Roman"/>
      <w:sz w:val="24"/>
      <w:szCs w:val="24"/>
      <w:lang w:eastAsia="x-none"/>
    </w:rPr>
  </w:style>
  <w:style w:type="character" w:styleId="ad">
    <w:name w:val="page number"/>
    <w:basedOn w:val="a0"/>
    <w:rsid w:val="00C71590"/>
  </w:style>
  <w:style w:type="paragraph" w:styleId="ae">
    <w:name w:val="footer"/>
    <w:basedOn w:val="a"/>
    <w:link w:val="af"/>
    <w:rsid w:val="00C71590"/>
    <w:pPr>
      <w:tabs>
        <w:tab w:val="center" w:pos="4677"/>
        <w:tab w:val="right" w:pos="9355"/>
      </w:tabs>
    </w:pPr>
  </w:style>
  <w:style w:type="character" w:customStyle="1" w:styleId="af">
    <w:name w:val="Нижний колонтитул Знак"/>
    <w:basedOn w:val="a0"/>
    <w:link w:val="ae"/>
    <w:rsid w:val="00C71590"/>
    <w:rPr>
      <w:rFonts w:ascii="Times New Roman" w:eastAsia="Times New Roman" w:hAnsi="Times New Roman" w:cs="Times New Roman"/>
      <w:sz w:val="24"/>
      <w:szCs w:val="24"/>
      <w:lang w:eastAsia="ru-RU"/>
    </w:rPr>
  </w:style>
  <w:style w:type="paragraph" w:customStyle="1" w:styleId="11">
    <w:name w:val="Обычный1"/>
    <w:rsid w:val="00C71590"/>
    <w:pPr>
      <w:spacing w:after="0" w:line="240" w:lineRule="auto"/>
    </w:pPr>
    <w:rPr>
      <w:rFonts w:ascii="Times New Roman" w:eastAsia="Times New Roman" w:hAnsi="Times New Roman" w:cs="Times New Roman"/>
      <w:snapToGrid w:val="0"/>
      <w:sz w:val="20"/>
      <w:szCs w:val="20"/>
      <w:lang w:val="ru-RU" w:eastAsia="ru-RU"/>
    </w:rPr>
  </w:style>
  <w:style w:type="paragraph" w:customStyle="1" w:styleId="25">
    <w:name w:val="Знак2 Знак Знак"/>
    <w:basedOn w:val="a"/>
    <w:rsid w:val="00C71590"/>
    <w:rPr>
      <w:rFonts w:ascii="Verdana" w:hAnsi="Verdana" w:cs="Verdana"/>
      <w:sz w:val="20"/>
      <w:szCs w:val="20"/>
      <w:lang w:val="en-US" w:eastAsia="en-US"/>
    </w:rPr>
  </w:style>
  <w:style w:type="paragraph" w:customStyle="1" w:styleId="af0">
    <w:name w:val="Знак"/>
    <w:basedOn w:val="a"/>
    <w:rsid w:val="00C71590"/>
    <w:rPr>
      <w:rFonts w:ascii="Verdana" w:hAnsi="Verdana" w:cs="Verdana"/>
      <w:sz w:val="20"/>
      <w:szCs w:val="20"/>
      <w:lang w:val="en-US" w:eastAsia="en-US"/>
    </w:rPr>
  </w:style>
  <w:style w:type="paragraph" w:customStyle="1" w:styleId="af1">
    <w:name w:val="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12">
    <w:name w:val="Знак Знак Знак Знак Знак Знак Знак Знак Знак Знак1 Знак Знак"/>
    <w:basedOn w:val="a"/>
    <w:rsid w:val="00C71590"/>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26">
    <w:name w:val="Знак2 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13">
    <w:name w:val="Знак Знак Знак Знак Знак Знак Знак1 Знак Знак Знак Знак Знак"/>
    <w:basedOn w:val="a"/>
    <w:rsid w:val="00C71590"/>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27">
    <w:name w:val="Знак2 Знак Знак Знак Знак Знак Знак 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28">
    <w:name w:val="Знак2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14">
    <w:name w:val="Знак1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15">
    <w:name w:val="Знак Знак Знак Знак1 Знак Знак Знак"/>
    <w:basedOn w:val="a"/>
    <w:rsid w:val="00C71590"/>
    <w:rPr>
      <w:rFonts w:ascii="Verdana" w:hAnsi="Verdana" w:cs="Verdana"/>
      <w:sz w:val="20"/>
      <w:szCs w:val="20"/>
      <w:lang w:val="en-US" w:eastAsia="en-US"/>
    </w:rPr>
  </w:style>
  <w:style w:type="paragraph" w:customStyle="1" w:styleId="16">
    <w:name w:val="Знак Знак1 Знак Знак Знак Знак Знак Знак Знак"/>
    <w:basedOn w:val="a"/>
    <w:rsid w:val="00C71590"/>
    <w:rPr>
      <w:rFonts w:ascii="Verdana" w:hAnsi="Verdana" w:cs="Verdana"/>
      <w:sz w:val="20"/>
      <w:szCs w:val="20"/>
      <w:lang w:val="en-US" w:eastAsia="en-US"/>
    </w:rPr>
  </w:style>
  <w:style w:type="paragraph" w:customStyle="1" w:styleId="af6">
    <w:name w:val="Знак Знак Знак"/>
    <w:basedOn w:val="a"/>
    <w:rsid w:val="00C71590"/>
    <w:rPr>
      <w:rFonts w:ascii="Verdana" w:hAnsi="Verdana" w:cs="Verdana"/>
      <w:sz w:val="20"/>
      <w:szCs w:val="20"/>
      <w:lang w:val="en-US" w:eastAsia="en-US"/>
    </w:rPr>
  </w:style>
  <w:style w:type="paragraph" w:customStyle="1" w:styleId="af7">
    <w:name w:val="Знак Знак Знак Знак"/>
    <w:basedOn w:val="a"/>
    <w:rsid w:val="00C71590"/>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29">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customStyle="1" w:styleId="17">
    <w:name w:val="Знак Знак Знак Знак1"/>
    <w:basedOn w:val="a"/>
    <w:rsid w:val="00C71590"/>
    <w:rPr>
      <w:rFonts w:ascii="Verdana" w:hAnsi="Verdana" w:cs="Verdana"/>
      <w:sz w:val="20"/>
      <w:szCs w:val="20"/>
      <w:lang w:val="en-US" w:eastAsia="en-US"/>
    </w:r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1590"/>
    <w:rPr>
      <w:rFonts w:ascii="Verdana" w:hAnsi="Verdana" w:cs="Verdana"/>
      <w:sz w:val="20"/>
      <w:szCs w:val="20"/>
      <w:lang w:val="en-US" w:eastAsia="en-US"/>
    </w:rPr>
  </w:style>
  <w:style w:type="paragraph" w:styleId="af8">
    <w:name w:val="Title"/>
    <w:basedOn w:val="a"/>
    <w:link w:val="af9"/>
    <w:qFormat/>
    <w:rsid w:val="00C71590"/>
    <w:pPr>
      <w:ind w:left="-720"/>
      <w:jc w:val="center"/>
    </w:pPr>
    <w:rPr>
      <w:b/>
      <w:bCs/>
      <w:sz w:val="28"/>
      <w:lang w:val="x-none" w:eastAsia="x-none"/>
    </w:rPr>
  </w:style>
  <w:style w:type="character" w:customStyle="1" w:styleId="af9">
    <w:name w:val="Название Знак"/>
    <w:basedOn w:val="a0"/>
    <w:link w:val="af8"/>
    <w:rsid w:val="00C71590"/>
    <w:rPr>
      <w:rFonts w:ascii="Times New Roman" w:eastAsia="Times New Roman" w:hAnsi="Times New Roman" w:cs="Times New Roman"/>
      <w:b/>
      <w:bCs/>
      <w:sz w:val="28"/>
      <w:szCs w:val="24"/>
      <w:lang w:val="x-none" w:eastAsia="x-none"/>
    </w:rPr>
  </w:style>
  <w:style w:type="paragraph" w:styleId="afa">
    <w:name w:val="Normal (Web)"/>
    <w:basedOn w:val="a"/>
    <w:uiPriority w:val="99"/>
    <w:semiHidden/>
    <w:unhideWhenUsed/>
    <w:rsid w:val="00C71590"/>
    <w:pPr>
      <w:spacing w:before="100" w:beforeAutospacing="1" w:after="100" w:afterAutospacing="1"/>
    </w:pPr>
    <w:rPr>
      <w:rFonts w:eastAsiaTheme="minorEastAsia"/>
      <w:lang w:eastAsia="uk-UA"/>
    </w:rPr>
  </w:style>
  <w:style w:type="numbering" w:customStyle="1" w:styleId="18">
    <w:name w:val="Нет списка1"/>
    <w:next w:val="a2"/>
    <w:semiHidden/>
    <w:rsid w:val="00C04443"/>
  </w:style>
  <w:style w:type="character" w:styleId="afb">
    <w:name w:val="Hyperlink"/>
    <w:rsid w:val="00C04443"/>
    <w:rPr>
      <w:color w:val="0000FF"/>
      <w:u w:val="single"/>
    </w:rPr>
  </w:style>
  <w:style w:type="paragraph" w:customStyle="1" w:styleId="19">
    <w:name w:val="Знак1 Знак Знак Знак Знак Знак Знак Знак Знак Знак Знак Знак Знак Знак Знак Знак"/>
    <w:basedOn w:val="a"/>
    <w:rsid w:val="00C04443"/>
    <w:rPr>
      <w:rFonts w:ascii="Verdana" w:hAnsi="Verdana" w:cs="Verdana"/>
      <w:sz w:val="20"/>
      <w:szCs w:val="20"/>
      <w:lang w:val="en-US" w:eastAsia="en-US"/>
    </w:rPr>
  </w:style>
  <w:style w:type="character" w:customStyle="1" w:styleId="rvts0">
    <w:name w:val="rvts0"/>
    <w:basedOn w:val="a0"/>
    <w:rsid w:val="00C04443"/>
  </w:style>
  <w:style w:type="character" w:customStyle="1" w:styleId="1a">
    <w:name w:val="Знак Знак1"/>
    <w:locked/>
    <w:rsid w:val="00C04443"/>
    <w:rPr>
      <w:b/>
      <w:bCs/>
      <w:sz w:val="24"/>
      <w:szCs w:val="24"/>
      <w:lang w:val="uk-UA" w:eastAsia="ru-RU" w:bidi="ar-SA"/>
    </w:rPr>
  </w:style>
  <w:style w:type="paragraph" w:customStyle="1" w:styleId="afc">
    <w:name w:val="Знак Знак Знак Знак"/>
    <w:basedOn w:val="a"/>
    <w:rsid w:val="00C04443"/>
    <w:rPr>
      <w:rFonts w:ascii="Verdana" w:hAnsi="Verdana" w:cs="Verdana"/>
      <w:sz w:val="20"/>
      <w:szCs w:val="20"/>
      <w:lang w:val="en-US" w:eastAsia="en-US"/>
    </w:rPr>
  </w:style>
  <w:style w:type="character" w:customStyle="1" w:styleId="apple-style-span">
    <w:name w:val="apple-style-span"/>
    <w:rsid w:val="00C0444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image" Target="media/image8.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4.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rada.cherkasy.ua/ua/" TargetMode="External"/><Relationship Id="rId14" Type="http://schemas.openxmlformats.org/officeDocument/2006/relationships/image" Target="media/image6.emf"/><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N-SERVER\users\Budget\Galuzi3\&#1087;&#1086;&#1103;&#1089;&#1085;&#1102;&#1102;&#1095;&#1110;\&#1087;&#1086;&#1103;&#1089;&#1085;&#1102;&#1102;&#1095;&#1110;%202015\&#1076;&#1110;&#1072;&#1075;&#1088;&#1072;&#1084;&#1072;%20&#1076;&#1086;%20&#1087;&#1086;&#1103;&#1089;&#1085;&#1102;&#1102;&#1095;&#1086;&#1111;%20&#1088;&#1110;&#1095;&#1085;&#1086;&#111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in-server\Users\Budget\Energo2\&#1044;&#1110;&#1072;&#1075;&#1088;&#1072;&#1084;&#1080;%20&#1079;&#1074;&#1110;&#1090;%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4" b="1" i="0" u="none" strike="noStrike" baseline="0">
                <a:solidFill>
                  <a:srgbClr val="000000"/>
                </a:solidFill>
                <a:latin typeface="Times New Roman CYR"/>
                <a:ea typeface="Times New Roman CYR"/>
                <a:cs typeface="Times New Roman CYR"/>
              </a:defRPr>
            </a:pPr>
            <a:r>
              <a:rPr lang="uk-UA"/>
              <a:t>Динаміка виконання видатків загального фонду міського бюджету по галузях соціально-культурної сфери, млн.грн.</a:t>
            </a:r>
          </a:p>
        </c:rich>
      </c:tx>
      <c:layout>
        <c:manualLayout>
          <c:xMode val="edge"/>
          <c:yMode val="edge"/>
          <c:x val="9.9621689785624204E-2"/>
          <c:y val="3.4129692832764501E-3"/>
        </c:manualLayout>
      </c:layout>
      <c:overlay val="0"/>
      <c:spPr>
        <a:noFill/>
        <a:ln w="27171">
          <a:noFill/>
        </a:ln>
      </c:spPr>
    </c:title>
    <c:autoTitleDeleted val="0"/>
    <c:view3D>
      <c:rotX val="15"/>
      <c:hPercent val="25"/>
      <c:rotY val="20"/>
      <c:depthPercent val="13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4.5397225725094574E-2"/>
          <c:y val="0.35153583617747436"/>
          <c:w val="0.94325346784363173"/>
          <c:h val="0.4948805460750853"/>
        </c:manualLayout>
      </c:layout>
      <c:bar3DChart>
        <c:barDir val="col"/>
        <c:grouping val="clustered"/>
        <c:varyColors val="0"/>
        <c:ser>
          <c:idx val="0"/>
          <c:order val="0"/>
          <c:tx>
            <c:strRef>
              <c:f>Sheet1!$A$2</c:f>
              <c:strCache>
                <c:ptCount val="1"/>
                <c:pt idx="0">
                  <c:v>2014 рік</c:v>
                </c:pt>
              </c:strCache>
            </c:strRef>
          </c:tx>
          <c:spPr>
            <a:solidFill>
              <a:srgbClr val="C0C0C0"/>
            </a:solidFill>
            <a:ln w="13585">
              <a:solidFill>
                <a:srgbClr val="000000"/>
              </a:solidFill>
              <a:prstDash val="solid"/>
            </a:ln>
          </c:spPr>
          <c:invertIfNegative val="0"/>
          <c:dLbls>
            <c:dLbl>
              <c:idx val="0"/>
              <c:layout>
                <c:manualLayout>
                  <c:x val="-4.1775350607019091E-2"/>
                  <c:y val="-3.5551741411765425E-2"/>
                </c:manualLayout>
              </c:layout>
              <c:showLegendKey val="0"/>
              <c:showVal val="1"/>
              <c:showCatName val="0"/>
              <c:showSerName val="0"/>
              <c:showPercent val="0"/>
              <c:showBubbleSize val="0"/>
            </c:dLbl>
            <c:dLbl>
              <c:idx val="1"/>
              <c:layout>
                <c:manualLayout>
                  <c:x val="-2.8473467220668347E-2"/>
                  <c:y val="-1.5838579720464763E-2"/>
                </c:manualLayout>
              </c:layout>
              <c:showLegendKey val="0"/>
              <c:showVal val="1"/>
              <c:showCatName val="0"/>
              <c:showSerName val="0"/>
              <c:showPercent val="0"/>
              <c:showBubbleSize val="0"/>
            </c:dLbl>
            <c:dLbl>
              <c:idx val="2"/>
              <c:layout>
                <c:manualLayout>
                  <c:x val="-2.0215557608178114E-2"/>
                  <c:y val="-3.19525951312567E-2"/>
                </c:manualLayout>
              </c:layout>
              <c:showLegendKey val="0"/>
              <c:showVal val="1"/>
              <c:showCatName val="0"/>
              <c:showSerName val="0"/>
              <c:showPercent val="0"/>
              <c:showBubbleSize val="0"/>
            </c:dLbl>
            <c:dLbl>
              <c:idx val="3"/>
              <c:layout>
                <c:manualLayout>
                  <c:x val="8.8722518290990093E-3"/>
                  <c:y val="1.9404728051167108E-2"/>
                </c:manualLayout>
              </c:layout>
              <c:showLegendKey val="0"/>
              <c:showVal val="1"/>
              <c:showCatName val="0"/>
              <c:showSerName val="0"/>
              <c:showPercent val="0"/>
              <c:showBubbleSize val="0"/>
            </c:dLbl>
            <c:dLbl>
              <c:idx val="4"/>
              <c:layout>
                <c:manualLayout>
                  <c:x val="2.9740339502965618E-2"/>
                  <c:y val="1.1447235277079915E-2"/>
                </c:manualLayout>
              </c:layout>
              <c:showLegendKey val="0"/>
              <c:showVal val="1"/>
              <c:showCatName val="0"/>
              <c:showSerName val="0"/>
              <c:showPercent val="0"/>
              <c:showBubbleSize val="0"/>
            </c:dLbl>
            <c:numFmt formatCode="0.0" sourceLinked="0"/>
            <c:spPr>
              <a:noFill/>
              <a:ln w="27171">
                <a:noFill/>
              </a:ln>
            </c:spPr>
            <c:txPr>
              <a:bodyPr/>
              <a:lstStyle/>
              <a:p>
                <a:pPr>
                  <a:defRPr sz="1096" b="1"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strRef>
              <c:f>Sheet1!$B$1:$F$1</c:f>
              <c:strCache>
                <c:ptCount val="5"/>
                <c:pt idx="0">
                  <c:v>Освіта</c:v>
                </c:pt>
                <c:pt idx="1">
                  <c:v>Охорона здоров'я</c:v>
                </c:pt>
                <c:pt idx="2">
                  <c:v>Соцзахист населення</c:v>
                </c:pt>
                <c:pt idx="3">
                  <c:v>Культура і мистецтво</c:v>
                </c:pt>
                <c:pt idx="4">
                  <c:v>Фізична культура і спорт</c:v>
                </c:pt>
              </c:strCache>
            </c:strRef>
          </c:cat>
          <c:val>
            <c:numRef>
              <c:f>Sheet1!$B$2:$F$2</c:f>
              <c:numCache>
                <c:formatCode>0.0</c:formatCode>
                <c:ptCount val="5"/>
                <c:pt idx="0" formatCode="General">
                  <c:v>288.89999999999998</c:v>
                </c:pt>
                <c:pt idx="1">
                  <c:v>197.2</c:v>
                </c:pt>
                <c:pt idx="2" formatCode="General">
                  <c:v>328.6</c:v>
                </c:pt>
                <c:pt idx="3" formatCode="General">
                  <c:v>36.6</c:v>
                </c:pt>
                <c:pt idx="4" formatCode="General">
                  <c:v>11.6</c:v>
                </c:pt>
              </c:numCache>
            </c:numRef>
          </c:val>
        </c:ser>
        <c:ser>
          <c:idx val="1"/>
          <c:order val="1"/>
          <c:tx>
            <c:strRef>
              <c:f>Sheet1!$A$3</c:f>
              <c:strCache>
                <c:ptCount val="1"/>
                <c:pt idx="0">
                  <c:v>2015 рік</c:v>
                </c:pt>
              </c:strCache>
            </c:strRef>
          </c:tx>
          <c:spPr>
            <a:solidFill>
              <a:srgbClr val="FFFF99"/>
            </a:solidFill>
            <a:ln w="13585">
              <a:solidFill>
                <a:srgbClr val="000000"/>
              </a:solidFill>
              <a:prstDash val="solid"/>
            </a:ln>
          </c:spPr>
          <c:invertIfNegative val="0"/>
          <c:dLbls>
            <c:dLbl>
              <c:idx val="0"/>
              <c:layout>
                <c:manualLayout>
                  <c:x val="-2.0347910924285451E-3"/>
                  <c:y val="-3.3626809288536452E-2"/>
                </c:manualLayout>
              </c:layout>
              <c:showLegendKey val="0"/>
              <c:showVal val="1"/>
              <c:showCatName val="0"/>
              <c:showSerName val="0"/>
              <c:showPercent val="0"/>
              <c:showBubbleSize val="0"/>
            </c:dLbl>
            <c:dLbl>
              <c:idx val="1"/>
              <c:layout>
                <c:manualLayout>
                  <c:x val="4.9619220543257736E-3"/>
                  <c:y val="-3.1808515988636654E-2"/>
                </c:manualLayout>
              </c:layout>
              <c:showLegendKey val="0"/>
              <c:showVal val="1"/>
              <c:showCatName val="0"/>
              <c:showSerName val="0"/>
              <c:showPercent val="0"/>
              <c:showBubbleSize val="0"/>
            </c:dLbl>
            <c:dLbl>
              <c:idx val="2"/>
              <c:layout>
                <c:manualLayout>
                  <c:x val="2.835224024184746E-2"/>
                  <c:y val="-4.0300717822505383E-2"/>
                </c:manualLayout>
              </c:layout>
              <c:showLegendKey val="0"/>
              <c:showVal val="1"/>
              <c:showCatName val="0"/>
              <c:showSerName val="0"/>
              <c:showPercent val="0"/>
              <c:showBubbleSize val="0"/>
            </c:dLbl>
            <c:dLbl>
              <c:idx val="3"/>
              <c:layout>
                <c:manualLayout>
                  <c:x val="2.9697138207083529E-2"/>
                  <c:y val="-7.4642302165551788E-3"/>
                </c:manualLayout>
              </c:layout>
              <c:showLegendKey val="0"/>
              <c:showVal val="1"/>
              <c:showCatName val="0"/>
              <c:showSerName val="0"/>
              <c:showPercent val="0"/>
              <c:showBubbleSize val="0"/>
            </c:dLbl>
            <c:dLbl>
              <c:idx val="4"/>
              <c:layout>
                <c:manualLayout>
                  <c:x val="4.9304354250847449E-2"/>
                  <c:y val="-2.3329228496106857E-2"/>
                </c:manualLayout>
              </c:layout>
              <c:showLegendKey val="0"/>
              <c:showVal val="1"/>
              <c:showCatName val="0"/>
              <c:showSerName val="0"/>
              <c:showPercent val="0"/>
              <c:showBubbleSize val="0"/>
            </c:dLbl>
            <c:spPr>
              <a:noFill/>
              <a:ln w="27171">
                <a:noFill/>
              </a:ln>
            </c:spPr>
            <c:txPr>
              <a:bodyPr/>
              <a:lstStyle/>
              <a:p>
                <a:pPr>
                  <a:defRPr sz="1096" b="1"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strRef>
              <c:f>Sheet1!$B$1:$F$1</c:f>
              <c:strCache>
                <c:ptCount val="5"/>
                <c:pt idx="0">
                  <c:v>Освіта</c:v>
                </c:pt>
                <c:pt idx="1">
                  <c:v>Охорона здоров'я</c:v>
                </c:pt>
                <c:pt idx="2">
                  <c:v>Соцзахист населення</c:v>
                </c:pt>
                <c:pt idx="3">
                  <c:v>Культура і мистецтво</c:v>
                </c:pt>
                <c:pt idx="4">
                  <c:v>Фізична культура і спорт</c:v>
                </c:pt>
              </c:strCache>
            </c:strRef>
          </c:cat>
          <c:val>
            <c:numRef>
              <c:f>Sheet1!$B$3:$F$3</c:f>
              <c:numCache>
                <c:formatCode>0.0</c:formatCode>
                <c:ptCount val="5"/>
                <c:pt idx="0">
                  <c:v>362.2</c:v>
                </c:pt>
                <c:pt idx="1">
                  <c:v>241.9</c:v>
                </c:pt>
                <c:pt idx="2">
                  <c:v>429.5</c:v>
                </c:pt>
                <c:pt idx="3">
                  <c:v>45</c:v>
                </c:pt>
                <c:pt idx="4">
                  <c:v>14.8</c:v>
                </c:pt>
              </c:numCache>
            </c:numRef>
          </c:val>
        </c:ser>
        <c:dLbls>
          <c:showLegendKey val="0"/>
          <c:showVal val="1"/>
          <c:showCatName val="0"/>
          <c:showSerName val="0"/>
          <c:showPercent val="0"/>
          <c:showBubbleSize val="0"/>
        </c:dLbls>
        <c:gapWidth val="140"/>
        <c:gapDepth val="0"/>
        <c:shape val="box"/>
        <c:axId val="153042304"/>
        <c:axId val="153056384"/>
        <c:axId val="0"/>
      </c:bar3DChart>
      <c:catAx>
        <c:axId val="153042304"/>
        <c:scaling>
          <c:orientation val="minMax"/>
        </c:scaling>
        <c:delete val="0"/>
        <c:axPos val="b"/>
        <c:numFmt formatCode="General" sourceLinked="1"/>
        <c:majorTickMark val="out"/>
        <c:minorTickMark val="none"/>
        <c:tickLblPos val="low"/>
        <c:spPr>
          <a:ln w="3396">
            <a:solidFill>
              <a:srgbClr val="000000"/>
            </a:solidFill>
            <a:prstDash val="solid"/>
          </a:ln>
        </c:spPr>
        <c:txPr>
          <a:bodyPr rot="0" vert="horz"/>
          <a:lstStyle/>
          <a:p>
            <a:pPr>
              <a:defRPr sz="909" b="0" i="0" u="none" strike="noStrike" baseline="0">
                <a:solidFill>
                  <a:srgbClr val="000000"/>
                </a:solidFill>
                <a:latin typeface="Times New Roman CYR"/>
                <a:ea typeface="Times New Roman CYR"/>
                <a:cs typeface="Times New Roman CYR"/>
              </a:defRPr>
            </a:pPr>
            <a:endParaRPr lang="ru-RU"/>
          </a:p>
        </c:txPr>
        <c:crossAx val="153056384"/>
        <c:crosses val="autoZero"/>
        <c:auto val="1"/>
        <c:lblAlgn val="ctr"/>
        <c:lblOffset val="100"/>
        <c:tickLblSkip val="1"/>
        <c:tickMarkSkip val="1"/>
        <c:noMultiLvlLbl val="0"/>
      </c:catAx>
      <c:valAx>
        <c:axId val="153056384"/>
        <c:scaling>
          <c:orientation val="minMax"/>
          <c:min val="0"/>
        </c:scaling>
        <c:delete val="0"/>
        <c:axPos val="l"/>
        <c:majorGridlines>
          <c:spPr>
            <a:ln w="13585">
              <a:solidFill>
                <a:srgbClr val="C0C0C0"/>
              </a:solidFill>
              <a:prstDash val="solid"/>
            </a:ln>
          </c:spPr>
        </c:majorGridlines>
        <c:numFmt formatCode="General" sourceLinked="1"/>
        <c:majorTickMark val="out"/>
        <c:minorTickMark val="none"/>
        <c:tickLblPos val="nextTo"/>
        <c:spPr>
          <a:ln w="3396">
            <a:solidFill>
              <a:srgbClr val="000000"/>
            </a:solidFill>
            <a:prstDash val="solid"/>
          </a:ln>
        </c:spPr>
        <c:txPr>
          <a:bodyPr rot="0" vert="horz"/>
          <a:lstStyle/>
          <a:p>
            <a:pPr>
              <a:defRPr sz="1096" b="0" i="0" u="none" strike="noStrike" baseline="0">
                <a:solidFill>
                  <a:srgbClr val="000000"/>
                </a:solidFill>
                <a:latin typeface="Times New Roman CYR"/>
                <a:ea typeface="Times New Roman CYR"/>
                <a:cs typeface="Times New Roman CYR"/>
              </a:defRPr>
            </a:pPr>
            <a:endParaRPr lang="ru-RU"/>
          </a:p>
        </c:txPr>
        <c:crossAx val="153042304"/>
        <c:crosses val="autoZero"/>
        <c:crossBetween val="between"/>
        <c:majorUnit val="25"/>
        <c:minorUnit val="2"/>
      </c:valAx>
      <c:spPr>
        <a:solidFill>
          <a:srgbClr val="FFFFFF"/>
        </a:solidFill>
        <a:ln w="27171">
          <a:noFill/>
        </a:ln>
      </c:spPr>
    </c:plotArea>
    <c:legend>
      <c:legendPos val="r"/>
      <c:layout>
        <c:manualLayout>
          <c:xMode val="edge"/>
          <c:yMode val="edge"/>
          <c:x val="3.7831021437578815E-3"/>
          <c:y val="0.79863481228668942"/>
          <c:w val="0.11601513240857503"/>
          <c:h val="0.20136518771331055"/>
        </c:manualLayout>
      </c:layout>
      <c:overlay val="0"/>
      <c:spPr>
        <a:noFill/>
        <a:ln w="3396">
          <a:solidFill>
            <a:srgbClr val="000000"/>
          </a:solidFill>
          <a:prstDash val="solid"/>
        </a:ln>
      </c:spPr>
      <c:txPr>
        <a:bodyPr/>
        <a:lstStyle/>
        <a:p>
          <a:pPr>
            <a:defRPr sz="786" b="1"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solidFill>
      <a:srgbClr val="FFFFFF"/>
    </a:solidFill>
    <a:ln>
      <a:noFill/>
    </a:ln>
  </c:spPr>
  <c:txPr>
    <a:bodyPr/>
    <a:lstStyle/>
    <a:p>
      <a:pPr>
        <a:defRPr sz="1096" b="1"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uk-UA" sz="1300" b="1" i="0" u="none" strike="noStrike">
                <a:effectLst/>
                <a:latin typeface="Times New Roman" panose="02020603050405020304" pitchFamily="18" charset="0"/>
                <a:cs typeface="Times New Roman" panose="02020603050405020304" pitchFamily="18" charset="0"/>
              </a:rPr>
              <a:t>Структура дебіторської заборгованості по загальному фонду </a:t>
            </a:r>
            <a:endParaRPr lang="uk-UA" sz="1300" b="1" i="1" u="sng">
              <a:effectLst/>
              <a:latin typeface="Times New Roman" panose="02020603050405020304" pitchFamily="18" charset="0"/>
              <a:cs typeface="Times New Roman" panose="02020603050405020304" pitchFamily="18" charset="0"/>
            </a:endParaRPr>
          </a:p>
          <a:p>
            <a:pPr>
              <a:defRPr/>
            </a:pPr>
            <a:r>
              <a:rPr lang="uk-UA" sz="1300" b="1">
                <a:effectLst/>
                <a:latin typeface="Times New Roman" panose="02020603050405020304" pitchFamily="18" charset="0"/>
                <a:cs typeface="Times New Roman" panose="02020603050405020304" pitchFamily="18" charset="0"/>
              </a:rPr>
              <a:t>міського бюджету за 2015 рік (з урахуванням заборгованості по видатках, які фінансуються за рахунок субвенцій з держбюджету)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10644907456175491"/>
                  <c:y val="-0.27146399885786193"/>
                </c:manualLayout>
              </c:layout>
              <c:tx>
                <c:rich>
                  <a:bodyPr/>
                  <a:lstStyle/>
                  <a:p>
                    <a:r>
                      <a:rPr lang="uk-UA">
                        <a:latin typeface="Times New Roman" panose="02020603050405020304" pitchFamily="18" charset="0"/>
                        <a:cs typeface="Times New Roman" panose="02020603050405020304" pitchFamily="18" charset="0"/>
                      </a:rPr>
                      <a:t> “Органи</a:t>
                    </a:r>
                    <a:r>
                      <a:rPr lang="uk-UA" baseline="0">
                        <a:latin typeface="Times New Roman" panose="02020603050405020304" pitchFamily="18" charset="0"/>
                        <a:cs typeface="Times New Roman" panose="02020603050405020304" pitchFamily="18" charset="0"/>
                      </a:rPr>
                      <a:t> місцевого самоврядування</a:t>
                    </a:r>
                    <a:r>
                      <a:rPr lang="uk-UA">
                        <a:latin typeface="Times New Roman" panose="02020603050405020304" pitchFamily="18" charset="0"/>
                        <a:cs typeface="Times New Roman" panose="02020603050405020304" pitchFamily="18" charset="0"/>
                      </a:rPr>
                      <a:t>” 
52,1%</a:t>
                    </a:r>
                    <a:endParaRPr lang="uk-UA"/>
                  </a:p>
                </c:rich>
              </c:tx>
              <c:showLegendKey val="0"/>
              <c:showVal val="0"/>
              <c:showCatName val="1"/>
              <c:showSerName val="0"/>
              <c:showPercent val="1"/>
              <c:showBubbleSize val="0"/>
            </c:dLbl>
            <c:dLbl>
              <c:idx val="1"/>
              <c:tx>
                <c:rich>
                  <a:bodyPr/>
                  <a:lstStyle/>
                  <a:p>
                    <a:r>
                      <a:rPr lang="uk-UA">
                        <a:latin typeface="Times New Roman" panose="02020603050405020304" pitchFamily="18" charset="0"/>
                        <a:cs typeface="Times New Roman" panose="02020603050405020304" pitchFamily="18" charset="0"/>
                      </a:rPr>
                      <a:t> "Соціальний захист і соціальне забезпечення"
2,2%</a:t>
                    </a:r>
                    <a:endParaRPr lang="uk-UA"/>
                  </a:p>
                </c:rich>
              </c:tx>
              <c:showLegendKey val="0"/>
              <c:showVal val="0"/>
              <c:showCatName val="1"/>
              <c:showSerName val="0"/>
              <c:showPercent val="1"/>
              <c:showBubbleSize val="0"/>
            </c:dLbl>
            <c:dLbl>
              <c:idx val="2"/>
              <c:layout>
                <c:manualLayout>
                  <c:x val="1.1655702847270673E-3"/>
                  <c:y val="-0.17921936688294865"/>
                </c:manualLayout>
              </c:layout>
              <c:tx>
                <c:rich>
                  <a:bodyPr/>
                  <a:lstStyle/>
                  <a:p>
                    <a:r>
                      <a:rPr lang="uk-UA">
                        <a:latin typeface="Times New Roman" panose="02020603050405020304" pitchFamily="18" charset="0"/>
                        <a:cs typeface="Times New Roman" panose="02020603050405020304" pitchFamily="18" charset="0"/>
                      </a:rPr>
                      <a:t>"Видатки, не віднесені до основних груп"
45,7%</a:t>
                    </a:r>
                    <a:endParaRPr lang="uk-UA"/>
                  </a:p>
                </c:rich>
              </c:tx>
              <c:showLegendKey val="0"/>
              <c:showVal val="0"/>
              <c:showCatName val="1"/>
              <c:showSerName val="0"/>
              <c:showPercent val="1"/>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dLbls>
          <c:cat>
            <c:strRef>
              <c:f>Лист1!$A$22:$A$24</c:f>
              <c:strCache>
                <c:ptCount val="3"/>
                <c:pt idx="0">
                  <c:v>010000 “Державне управління” </c:v>
                </c:pt>
                <c:pt idx="1">
                  <c:v>090000 "Соціальний захист і соціальне забезпечення"</c:v>
                </c:pt>
                <c:pt idx="2">
                  <c:v>250000 "Видатки, не віднесені до основних груп"</c:v>
                </c:pt>
              </c:strCache>
            </c:strRef>
          </c:cat>
          <c:val>
            <c:numRef>
              <c:f>Лист1!$B$22:$B$24</c:f>
              <c:numCache>
                <c:formatCode>General</c:formatCode>
                <c:ptCount val="3"/>
                <c:pt idx="0">
                  <c:v>32.6</c:v>
                </c:pt>
                <c:pt idx="1">
                  <c:v>1.4</c:v>
                </c:pt>
                <c:pt idx="2">
                  <c:v>28.6</c:v>
                </c:pt>
              </c:numCache>
            </c:numRef>
          </c:val>
        </c:ser>
        <c:ser>
          <c:idx val="1"/>
          <c:order val="1"/>
          <c:explosion val="25"/>
          <c:dLbls>
            <c:showLegendKey val="0"/>
            <c:showVal val="0"/>
            <c:showCatName val="1"/>
            <c:showSerName val="0"/>
            <c:showPercent val="1"/>
            <c:showBubbleSize val="0"/>
            <c:showLeaderLines val="1"/>
          </c:dLbls>
          <c:cat>
            <c:strRef>
              <c:f>Лист1!$A$22:$A$24</c:f>
              <c:strCache>
                <c:ptCount val="3"/>
                <c:pt idx="0">
                  <c:v>010000 “Державне управління” </c:v>
                </c:pt>
                <c:pt idx="1">
                  <c:v>090000 "Соціальний захист і соціальне забезпечення"</c:v>
                </c:pt>
                <c:pt idx="2">
                  <c:v>250000 "Видатки, не віднесені до основних груп"</c:v>
                </c:pt>
              </c:strCache>
            </c:strRef>
          </c:cat>
          <c:val>
            <c:numRef>
              <c:f>Лист1!$C$22:$C$24</c:f>
              <c:numCache>
                <c:formatCode>0.0%</c:formatCode>
                <c:ptCount val="3"/>
                <c:pt idx="0">
                  <c:v>0.52076677316293929</c:v>
                </c:pt>
                <c:pt idx="1">
                  <c:v>2.2364217252396165E-2</c:v>
                </c:pt>
                <c:pt idx="2">
                  <c:v>0.45686900958466453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uk-UA" sz="1800" b="1" i="0" baseline="0">
                <a:effectLst/>
                <a:latin typeface="Times New Roman" panose="02020603050405020304" pitchFamily="18" charset="0"/>
                <a:cs typeface="Times New Roman" panose="02020603050405020304" pitchFamily="18" charset="0"/>
              </a:rPr>
              <a:t>Структура дебіторської заборгованості по </a:t>
            </a:r>
            <a:r>
              <a:rPr lang="ru-RU" sz="1800" b="1" i="0" baseline="0">
                <a:effectLst/>
                <a:latin typeface="Times New Roman" panose="02020603050405020304" pitchFamily="18" charset="0"/>
                <a:cs typeface="Times New Roman" panose="02020603050405020304" pitchFamily="18" charset="0"/>
              </a:rPr>
              <a:t>спеціальному</a:t>
            </a:r>
            <a:r>
              <a:rPr lang="uk-UA" sz="1800" b="1" i="0" baseline="0">
                <a:effectLst/>
                <a:latin typeface="Times New Roman" panose="02020603050405020304" pitchFamily="18" charset="0"/>
                <a:cs typeface="Times New Roman" panose="02020603050405020304" pitchFamily="18" charset="0"/>
              </a:rPr>
              <a:t> фонду </a:t>
            </a:r>
            <a:endParaRPr lang="uk-UA">
              <a:effectLst/>
              <a:latin typeface="Times New Roman" panose="02020603050405020304" pitchFamily="18" charset="0"/>
              <a:cs typeface="Times New Roman" panose="02020603050405020304" pitchFamily="18" charset="0"/>
            </a:endParaRPr>
          </a:p>
          <a:p>
            <a:pPr>
              <a:defRPr/>
            </a:pPr>
            <a:r>
              <a:rPr lang="uk-UA" sz="1800" b="1" i="0" baseline="0">
                <a:effectLst/>
                <a:latin typeface="Times New Roman" panose="02020603050405020304" pitchFamily="18" charset="0"/>
                <a:cs typeface="Times New Roman" panose="02020603050405020304" pitchFamily="18" charset="0"/>
              </a:rPr>
              <a:t>міського бюджету за 2015 рік </a:t>
            </a:r>
            <a:endParaRPr lang="uk-UA">
              <a:effectLst/>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tx>
                <c:rich>
                  <a:bodyPr/>
                  <a:lstStyle/>
                  <a:p>
                    <a:r>
                      <a:rPr lang="uk-UA">
                        <a:latin typeface="Times New Roman" panose="02020603050405020304" pitchFamily="18" charset="0"/>
                        <a:cs typeface="Times New Roman" panose="02020603050405020304" pitchFamily="18" charset="0"/>
                      </a:rPr>
                      <a:t> “Освіта”
6</a:t>
                    </a:r>
                    <a:r>
                      <a:rPr lang="en-US">
                        <a:latin typeface="Times New Roman" panose="02020603050405020304" pitchFamily="18" charset="0"/>
                        <a:cs typeface="Times New Roman" panose="02020603050405020304" pitchFamily="18" charset="0"/>
                      </a:rPr>
                      <a:t>,1</a:t>
                    </a:r>
                    <a:r>
                      <a:rPr lang="uk-UA">
                        <a:latin typeface="Times New Roman" panose="02020603050405020304" pitchFamily="18" charset="0"/>
                        <a:cs typeface="Times New Roman" panose="02020603050405020304" pitchFamily="18" charset="0"/>
                      </a:rPr>
                      <a:t>%</a:t>
                    </a:r>
                    <a:endParaRPr lang="uk-UA"/>
                  </a:p>
                </c:rich>
              </c:tx>
              <c:showLegendKey val="0"/>
              <c:showVal val="0"/>
              <c:showCatName val="1"/>
              <c:showSerName val="0"/>
              <c:showPercent val="1"/>
              <c:showBubbleSize val="0"/>
            </c:dLbl>
            <c:dLbl>
              <c:idx val="1"/>
              <c:tx>
                <c:rich>
                  <a:bodyPr/>
                  <a:lstStyle/>
                  <a:p>
                    <a:r>
                      <a:rPr lang="uk-UA">
                        <a:latin typeface="Times New Roman" panose="02020603050405020304" pitchFamily="18" charset="0"/>
                        <a:cs typeface="Times New Roman" panose="02020603050405020304" pitchFamily="18" charset="0"/>
                      </a:rPr>
                      <a:t> "Житлово-комунальне господарство"
</a:t>
                    </a:r>
                    <a:r>
                      <a:rPr lang="en-US">
                        <a:latin typeface="Times New Roman" panose="02020603050405020304" pitchFamily="18" charset="0"/>
                        <a:cs typeface="Times New Roman" panose="02020603050405020304" pitchFamily="18" charset="0"/>
                      </a:rPr>
                      <a:t>1,6</a:t>
                    </a:r>
                    <a:r>
                      <a:rPr lang="uk-UA">
                        <a:latin typeface="Times New Roman" panose="02020603050405020304" pitchFamily="18" charset="0"/>
                        <a:cs typeface="Times New Roman" panose="02020603050405020304" pitchFamily="18" charset="0"/>
                      </a:rPr>
                      <a:t>%</a:t>
                    </a:r>
                    <a:endParaRPr lang="uk-UA"/>
                  </a:p>
                </c:rich>
              </c:tx>
              <c:showLegendKey val="0"/>
              <c:showVal val="0"/>
              <c:showCatName val="1"/>
              <c:showSerName val="0"/>
              <c:showPercent val="1"/>
              <c:showBubbleSize val="0"/>
            </c:dLbl>
            <c:dLbl>
              <c:idx val="2"/>
              <c:tx>
                <c:rich>
                  <a:bodyPr/>
                  <a:lstStyle/>
                  <a:p>
                    <a:r>
                      <a:rPr lang="uk-UA">
                        <a:latin typeface="Times New Roman" panose="02020603050405020304" pitchFamily="18" charset="0"/>
                        <a:cs typeface="Times New Roman" panose="02020603050405020304" pitchFamily="18" charset="0"/>
                      </a:rPr>
                      <a:t> "Будівництво"
65</a:t>
                    </a:r>
                    <a:r>
                      <a:rPr lang="en-US">
                        <a:latin typeface="Times New Roman" panose="02020603050405020304" pitchFamily="18" charset="0"/>
                        <a:cs typeface="Times New Roman" panose="02020603050405020304" pitchFamily="18" charset="0"/>
                      </a:rPr>
                      <a:t>,2</a:t>
                    </a:r>
                    <a:r>
                      <a:rPr lang="uk-UA">
                        <a:latin typeface="Times New Roman" panose="02020603050405020304" pitchFamily="18" charset="0"/>
                        <a:cs typeface="Times New Roman" panose="02020603050405020304" pitchFamily="18" charset="0"/>
                      </a:rPr>
                      <a:t>%</a:t>
                    </a:r>
                    <a:endParaRPr lang="uk-UA"/>
                  </a:p>
                </c:rich>
              </c:tx>
              <c:showLegendKey val="0"/>
              <c:showVal val="0"/>
              <c:showCatName val="1"/>
              <c:showSerName val="0"/>
              <c:showPercent val="1"/>
              <c:showBubbleSize val="0"/>
            </c:dLbl>
            <c:dLbl>
              <c:idx val="3"/>
              <c:tx>
                <c:rich>
                  <a:bodyPr/>
                  <a:lstStyle/>
                  <a:p>
                    <a:r>
                      <a:rPr lang="uk-UA">
                        <a:latin typeface="Times New Roman" panose="02020603050405020304" pitchFamily="18" charset="0"/>
                        <a:cs typeface="Times New Roman" panose="02020603050405020304" pitchFamily="18" charset="0"/>
                      </a:rPr>
                      <a:t> "Транспорт, дорожнє господарство, зв"язок телекомунікації та інформатика"
27</a:t>
                    </a:r>
                    <a:r>
                      <a:rPr lang="en-US">
                        <a:latin typeface="Times New Roman" panose="02020603050405020304" pitchFamily="18" charset="0"/>
                        <a:cs typeface="Times New Roman" panose="02020603050405020304" pitchFamily="18" charset="0"/>
                      </a:rPr>
                      <a:t>,1</a:t>
                    </a:r>
                    <a:r>
                      <a:rPr lang="uk-UA">
                        <a:latin typeface="Times New Roman" panose="02020603050405020304" pitchFamily="18" charset="0"/>
                        <a:cs typeface="Times New Roman" panose="02020603050405020304" pitchFamily="18" charset="0"/>
                      </a:rPr>
                      <a:t>%</a:t>
                    </a:r>
                    <a:endParaRPr lang="uk-UA"/>
                  </a:p>
                </c:rich>
              </c:tx>
              <c:showLegendKey val="0"/>
              <c:showVal val="0"/>
              <c:showCatName val="1"/>
              <c:showSerName val="0"/>
              <c:showPercent val="1"/>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dLbls>
          <c:cat>
            <c:strRef>
              <c:f>Лист1!$A$41:$A$49</c:f>
              <c:strCache>
                <c:ptCount val="4"/>
                <c:pt idx="0">
                  <c:v>070000 “Освіта”</c:v>
                </c:pt>
                <c:pt idx="1">
                  <c:v>100000 "Житлово-комунальне господарство"</c:v>
                </c:pt>
                <c:pt idx="2">
                  <c:v>150000 "Будівництво"</c:v>
                </c:pt>
                <c:pt idx="3">
                  <c:v>170000 "Транспорт, дорожнє господарство, зв"язок телекомунікації та інформатика"</c:v>
                </c:pt>
              </c:strCache>
            </c:strRef>
          </c:cat>
          <c:val>
            <c:numRef>
              <c:f>Лист1!$B$41:$B$49</c:f>
              <c:numCache>
                <c:formatCode>General</c:formatCode>
                <c:ptCount val="4"/>
                <c:pt idx="0">
                  <c:v>364.5</c:v>
                </c:pt>
                <c:pt idx="1">
                  <c:v>95.8</c:v>
                </c:pt>
                <c:pt idx="2" formatCode="#,##0.00">
                  <c:v>3910.7</c:v>
                </c:pt>
                <c:pt idx="3" formatCode="#,##0.00">
                  <c:v>1622.5</c:v>
                </c:pt>
              </c:numCache>
            </c:numRef>
          </c:val>
        </c:ser>
        <c:ser>
          <c:idx val="1"/>
          <c:order val="1"/>
          <c:explosion val="25"/>
          <c:dLbls>
            <c:showLegendKey val="0"/>
            <c:showVal val="0"/>
            <c:showCatName val="1"/>
            <c:showSerName val="0"/>
            <c:showPercent val="1"/>
            <c:showBubbleSize val="0"/>
            <c:showLeaderLines val="1"/>
          </c:dLbls>
          <c:cat>
            <c:strRef>
              <c:f>Лист1!$A$41:$A$49</c:f>
              <c:strCache>
                <c:ptCount val="4"/>
                <c:pt idx="0">
                  <c:v>070000 “Освіта”</c:v>
                </c:pt>
                <c:pt idx="1">
                  <c:v>100000 "Житлово-комунальне господарство"</c:v>
                </c:pt>
                <c:pt idx="2">
                  <c:v>150000 "Будівництво"</c:v>
                </c:pt>
                <c:pt idx="3">
                  <c:v>170000 "Транспорт, дорожнє господарство, зв"язок телекомунікації та інформатика"</c:v>
                </c:pt>
              </c:strCache>
            </c:strRef>
          </c:cat>
          <c:val>
            <c:numRef>
              <c:f>Лист1!$C$41:$C$49</c:f>
              <c:numCache>
                <c:formatCode>0.0%</c:formatCode>
                <c:ptCount val="4"/>
                <c:pt idx="0">
                  <c:v>6.0815883874197049E-2</c:v>
                </c:pt>
                <c:pt idx="1">
                  <c:v>1.5983982647868523E-2</c:v>
                </c:pt>
                <c:pt idx="2">
                  <c:v>0.65249019771419037</c:v>
                </c:pt>
                <c:pt idx="3">
                  <c:v>0.27070993576374408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5" b="1" i="0" u="none" strike="noStrike" baseline="0">
                <a:solidFill>
                  <a:srgbClr val="000000"/>
                </a:solidFill>
                <a:latin typeface="Times New Roman"/>
                <a:ea typeface="Times New Roman"/>
                <a:cs typeface="Times New Roman"/>
              </a:defRPr>
            </a:pPr>
            <a:r>
              <a:rPr lang="ru-RU" sz="900"/>
              <a:t>Структура касових видатків загального фонду по галузі "Молодіжні програми" за 2014 рік</a:t>
            </a:r>
          </a:p>
        </c:rich>
      </c:tx>
      <c:layout>
        <c:manualLayout>
          <c:xMode val="edge"/>
          <c:yMode val="edge"/>
          <c:x val="4.5406679536958712E-2"/>
          <c:y val="0"/>
        </c:manualLayout>
      </c:layout>
      <c:overlay val="0"/>
      <c:spPr>
        <a:noFill/>
        <a:ln w="25402">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598465473145788"/>
          <c:y val="0.52606635071089969"/>
          <c:w val="0.3631713554987212"/>
          <c:h val="0.26540284360189581"/>
        </c:manualLayout>
      </c:layout>
      <c:pie3DChart>
        <c:varyColors val="1"/>
        <c:ser>
          <c:idx val="0"/>
          <c:order val="0"/>
          <c:tx>
            <c:strRef>
              <c:f>Sheet1!$A$2</c:f>
              <c:strCache>
                <c:ptCount val="1"/>
              </c:strCache>
            </c:strRef>
          </c:tx>
          <c:spPr>
            <a:solidFill>
              <a:srgbClr val="9999FF"/>
            </a:solidFill>
            <a:ln w="12702">
              <a:solidFill>
                <a:srgbClr val="000000"/>
              </a:solidFill>
              <a:prstDash val="solid"/>
            </a:ln>
          </c:spPr>
          <c:explosion val="39"/>
          <c:dPt>
            <c:idx val="0"/>
            <c:bubble3D val="0"/>
          </c:dPt>
          <c:dPt>
            <c:idx val="1"/>
            <c:bubble3D val="0"/>
            <c:spPr>
              <a:solidFill>
                <a:srgbClr val="993366"/>
              </a:solidFill>
              <a:ln w="12702">
                <a:solidFill>
                  <a:srgbClr val="000000"/>
                </a:solidFill>
                <a:prstDash val="solid"/>
              </a:ln>
            </c:spPr>
          </c:dPt>
          <c:dPt>
            <c:idx val="2"/>
            <c:bubble3D val="0"/>
            <c:spPr>
              <a:solidFill>
                <a:srgbClr val="FFFFCC"/>
              </a:solidFill>
              <a:ln w="12702">
                <a:solidFill>
                  <a:srgbClr val="000000"/>
                </a:solidFill>
                <a:prstDash val="solid"/>
              </a:ln>
            </c:spPr>
          </c:dPt>
          <c:dLbls>
            <c:dLbl>
              <c:idx val="0"/>
              <c:layout>
                <c:manualLayout>
                  <c:x val="-0.15047269576739816"/>
                  <c:y val="-0.15001336489380554"/>
                </c:manualLayout>
              </c:layout>
              <c:tx>
                <c:rich>
                  <a:bodyPr/>
                  <a:lstStyle/>
                  <a:p>
                    <a:pPr>
                      <a:defRPr sz="850" b="0" i="0" u="none" strike="noStrike" baseline="0">
                        <a:solidFill>
                          <a:srgbClr val="000000"/>
                        </a:solidFill>
                        <a:latin typeface="Times New Roman"/>
                        <a:ea typeface="Times New Roman"/>
                        <a:cs typeface="Times New Roman"/>
                      </a:defRPr>
                    </a:pPr>
                    <a:r>
                      <a:rPr lang="ru-RU"/>
                      <a:t>Інші  1001,4 тис.грн. </a:t>
                    </a:r>
                  </a:p>
                  <a:p>
                    <a:pPr>
                      <a:defRPr sz="850" b="0" i="0" u="none" strike="noStrike" baseline="0">
                        <a:solidFill>
                          <a:srgbClr val="000000"/>
                        </a:solidFill>
                        <a:latin typeface="Times New Roman"/>
                        <a:ea typeface="Times New Roman"/>
                        <a:cs typeface="Times New Roman"/>
                      </a:defRPr>
                    </a:pPr>
                    <a:r>
                      <a:rPr lang="ru-RU"/>
                      <a:t>32,6%</a:t>
                    </a:r>
                  </a:p>
                </c:rich>
              </c:tx>
              <c:spPr>
                <a:noFill/>
                <a:ln w="25402">
                  <a:noFill/>
                </a:ln>
              </c:spPr>
              <c:dLblPos val="bestFit"/>
              <c:showLegendKey val="0"/>
              <c:showVal val="0"/>
              <c:showCatName val="0"/>
              <c:showSerName val="0"/>
              <c:showPercent val="0"/>
              <c:showBubbleSize val="0"/>
            </c:dLbl>
            <c:dLbl>
              <c:idx val="1"/>
              <c:layout>
                <c:manualLayout>
                  <c:x val="0.13164255294534463"/>
                  <c:y val="-0.10394958115265532"/>
                </c:manualLayout>
              </c:layout>
              <c:tx>
                <c:rich>
                  <a:bodyPr/>
                  <a:lstStyle/>
                  <a:p>
                    <a:pPr>
                      <a:defRPr sz="850" b="0" i="0" u="none" strike="noStrike" baseline="0">
                        <a:solidFill>
                          <a:srgbClr val="000000"/>
                        </a:solidFill>
                        <a:latin typeface="Times New Roman"/>
                        <a:ea typeface="Times New Roman"/>
                        <a:cs typeface="Times New Roman"/>
                      </a:defRPr>
                    </a:pPr>
                    <a:r>
                      <a:rPr lang="ru-RU"/>
                      <a:t>Енергоносії</a:t>
                    </a:r>
                    <a:r>
                      <a:rPr lang="en-US" baseline="0"/>
                      <a:t> </a:t>
                    </a:r>
                    <a:r>
                      <a:rPr lang="ru-RU"/>
                      <a:t>263,2 тис.грн. </a:t>
                    </a:r>
                    <a:endParaRPr lang="en-US"/>
                  </a:p>
                  <a:p>
                    <a:pPr>
                      <a:defRPr sz="850" b="0" i="0" u="none" strike="noStrike" baseline="0">
                        <a:solidFill>
                          <a:srgbClr val="000000"/>
                        </a:solidFill>
                        <a:latin typeface="Times New Roman"/>
                        <a:ea typeface="Times New Roman"/>
                        <a:cs typeface="Times New Roman"/>
                      </a:defRPr>
                    </a:pPr>
                    <a:r>
                      <a:rPr lang="ru-RU"/>
                      <a:t>8,6%</a:t>
                    </a:r>
                  </a:p>
                </c:rich>
              </c:tx>
              <c:spPr>
                <a:noFill/>
                <a:ln w="25402">
                  <a:noFill/>
                </a:ln>
              </c:spPr>
              <c:dLblPos val="bestFit"/>
              <c:showLegendKey val="0"/>
              <c:showVal val="0"/>
              <c:showCatName val="0"/>
              <c:showSerName val="0"/>
              <c:showPercent val="0"/>
              <c:showBubbleSize val="0"/>
            </c:dLbl>
            <c:dLbl>
              <c:idx val="2"/>
              <c:layout>
                <c:manualLayout>
                  <c:x val="-0.11707463751497087"/>
                  <c:y val="-9.1122812102474984E-2"/>
                </c:manualLayout>
              </c:layout>
              <c:tx>
                <c:rich>
                  <a:bodyPr/>
                  <a:lstStyle/>
                  <a:p>
                    <a:pPr>
                      <a:defRPr sz="850" b="0" i="0" u="none" strike="noStrike" baseline="0">
                        <a:solidFill>
                          <a:srgbClr val="000000"/>
                        </a:solidFill>
                        <a:latin typeface="Times New Roman"/>
                        <a:ea typeface="Times New Roman"/>
                        <a:cs typeface="Times New Roman"/>
                      </a:defRPr>
                    </a:pPr>
                    <a:r>
                      <a:rPr lang="ru-RU"/>
                      <a:t>Оплата праці з нарахуван</a:t>
                    </a:r>
                    <a:r>
                      <a:rPr lang="en-US"/>
                      <a:t>-</a:t>
                    </a:r>
                    <a:r>
                      <a:rPr lang="ru-RU"/>
                      <a:t>нями
1806,8 тис.грн. 58,8%</a:t>
                    </a:r>
                  </a:p>
                </c:rich>
              </c:tx>
              <c:spPr>
                <a:noFill/>
                <a:ln w="25402">
                  <a:noFill/>
                </a:ln>
              </c:spPr>
              <c:dLblPos val="bestFit"/>
              <c:showLegendKey val="0"/>
              <c:showVal val="0"/>
              <c:showCatName val="0"/>
              <c:showSerName val="0"/>
              <c:showPercent val="0"/>
              <c:showBubbleSize val="0"/>
            </c:dLbl>
            <c:dLbl>
              <c:idx val="3"/>
              <c:delete val="1"/>
            </c:dLbl>
            <c:dLbl>
              <c:idx val="4"/>
              <c:delete val="1"/>
            </c:dLbl>
            <c:dLbl>
              <c:idx val="5"/>
              <c:layout>
                <c:manualLayout>
                  <c:xMode val="edge"/>
                  <c:yMode val="edge"/>
                  <c:x val="5.6265984654731524E-2"/>
                  <c:y val="0.25592417061611372"/>
                </c:manualLayout>
              </c:layout>
              <c:tx>
                <c:rich>
                  <a:bodyPr/>
                  <a:lstStyle/>
                  <a:p>
                    <a:pPr>
                      <a:defRPr sz="1125" b="0" i="0" u="none" strike="noStrike" baseline="0">
                        <a:solidFill>
                          <a:srgbClr val="000000"/>
                        </a:solidFill>
                        <a:latin typeface="Arial CYR"/>
                        <a:ea typeface="Arial CYR"/>
                        <a:cs typeface="Arial CYR"/>
                      </a:defRPr>
                    </a:pPr>
                    <a:r>
                      <a:t>видатки за рахунок субвенції з ДБ на ст. 57
3,3%</a:t>
                    </a:r>
                  </a:p>
                </c:rich>
              </c:tx>
              <c:spPr>
                <a:noFill/>
                <a:ln w="25402">
                  <a:noFill/>
                </a:ln>
              </c:spPr>
              <c:dLblPos val="bestFit"/>
              <c:showLegendKey val="0"/>
              <c:showVal val="0"/>
              <c:showCatName val="0"/>
              <c:showSerName val="0"/>
              <c:showPercent val="0"/>
              <c:showBubbleSize val="0"/>
            </c:dLbl>
            <c:numFmt formatCode="0%" sourceLinked="0"/>
            <c:spPr>
              <a:noFill/>
              <a:ln w="25402">
                <a:noFill/>
              </a:ln>
            </c:spPr>
            <c:txPr>
              <a:bodyPr/>
              <a:lstStyle/>
              <a:p>
                <a:pPr>
                  <a:defRPr sz="850"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dLbls>
          <c:cat>
            <c:strRef>
              <c:f>Sheet1!$B$1:$D$1</c:f>
              <c:strCache>
                <c:ptCount val="3"/>
                <c:pt idx="0">
                  <c:v>інші поточні</c:v>
                </c:pt>
                <c:pt idx="1">
                  <c:v>Енергоносії</c:v>
                </c:pt>
                <c:pt idx="2">
                  <c:v>Зарплата</c:v>
                </c:pt>
              </c:strCache>
            </c:strRef>
          </c:cat>
          <c:val>
            <c:numRef>
              <c:f>Sheet1!$B$2:$D$2</c:f>
              <c:numCache>
                <c:formatCode>General</c:formatCode>
                <c:ptCount val="3"/>
                <c:pt idx="0">
                  <c:v>968.9</c:v>
                </c:pt>
                <c:pt idx="1">
                  <c:v>473.8</c:v>
                </c:pt>
                <c:pt idx="2">
                  <c:v>4239.3</c:v>
                </c:pt>
              </c:numCache>
            </c:numRef>
          </c:val>
        </c:ser>
        <c:ser>
          <c:idx val="1"/>
          <c:order val="1"/>
          <c:tx>
            <c:strRef>
              <c:f>Sheet1!$A$3</c:f>
              <c:strCache>
                <c:ptCount val="1"/>
              </c:strCache>
            </c:strRef>
          </c:tx>
          <c:spPr>
            <a:solidFill>
              <a:srgbClr val="993366"/>
            </a:solidFill>
            <a:ln w="12702">
              <a:solidFill>
                <a:srgbClr val="000000"/>
              </a:solidFill>
              <a:prstDash val="solid"/>
            </a:ln>
          </c:spPr>
          <c:explosion val="39"/>
          <c:dPt>
            <c:idx val="0"/>
            <c:bubble3D val="0"/>
            <c:spPr>
              <a:solidFill>
                <a:srgbClr val="9999FF"/>
              </a:solidFill>
              <a:ln w="12702">
                <a:solidFill>
                  <a:srgbClr val="000000"/>
                </a:solidFill>
                <a:prstDash val="solid"/>
              </a:ln>
            </c:spPr>
          </c:dPt>
          <c:dPt>
            <c:idx val="1"/>
            <c:bubble3D val="0"/>
          </c:dPt>
          <c:dPt>
            <c:idx val="2"/>
            <c:bubble3D val="0"/>
            <c:spPr>
              <a:solidFill>
                <a:srgbClr val="FFFFCC"/>
              </a:solidFill>
              <a:ln w="12702">
                <a:solidFill>
                  <a:srgbClr val="000000"/>
                </a:solidFill>
                <a:prstDash val="solid"/>
              </a:ln>
            </c:spPr>
          </c:dPt>
          <c:dLbls>
            <c:numFmt formatCode="0%" sourceLinked="0"/>
            <c:spPr>
              <a:noFill/>
              <a:ln w="25402">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Sheet1!$B$1:$D$1</c:f>
              <c:strCache>
                <c:ptCount val="3"/>
                <c:pt idx="0">
                  <c:v>інші поточні</c:v>
                </c:pt>
                <c:pt idx="1">
                  <c:v>Енергоносії</c:v>
                </c:pt>
                <c:pt idx="2">
                  <c:v>Зарплата</c:v>
                </c:pt>
              </c:strCache>
            </c:strRef>
          </c:cat>
          <c:val>
            <c:numRef>
              <c:f>Sheet1!$B$3:$D$3</c:f>
              <c:numCache>
                <c:formatCode>General</c:formatCode>
                <c:ptCount val="3"/>
              </c:numCache>
            </c:numRef>
          </c:val>
        </c:ser>
        <c:dLbls>
          <c:showLegendKey val="0"/>
          <c:showVal val="0"/>
          <c:showCatName val="1"/>
          <c:showSerName val="0"/>
          <c:showPercent val="1"/>
          <c:showBubbleSize val="0"/>
          <c:showLeaderLines val="1"/>
        </c:dLbls>
      </c:pie3DChart>
      <c:spPr>
        <a:solidFill>
          <a:srgbClr val="FFFFFF"/>
        </a:solidFill>
        <a:ln w="25402">
          <a:noFill/>
        </a:ln>
      </c:spPr>
    </c:plotArea>
    <c:plotVisOnly val="1"/>
    <c:dispBlanksAs val="zero"/>
    <c:showDLblsOverMax val="0"/>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36" b="1" i="0" u="none" strike="noStrike" baseline="0">
                <a:solidFill>
                  <a:srgbClr val="000000"/>
                </a:solidFill>
                <a:latin typeface="Times New Roman"/>
                <a:ea typeface="Times New Roman"/>
                <a:cs typeface="Times New Roman"/>
              </a:defRPr>
            </a:pPr>
            <a:r>
              <a:rPr lang="ru-RU" sz="836"/>
              <a:t>Структура касових видатків загального фонду по галузі "Молодіжні програми" за 2015 рік</a:t>
            </a:r>
          </a:p>
        </c:rich>
      </c:tx>
      <c:layout>
        <c:manualLayout>
          <c:xMode val="edge"/>
          <c:yMode val="edge"/>
          <c:x val="9.7186625181133593E-2"/>
          <c:y val="0"/>
        </c:manualLayout>
      </c:layout>
      <c:overlay val="0"/>
      <c:spPr>
        <a:noFill/>
        <a:ln w="2124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598465473145788"/>
          <c:y val="0.52606635071089969"/>
          <c:w val="0.3631713554987212"/>
          <c:h val="0.26540284360189581"/>
        </c:manualLayout>
      </c:layout>
      <c:pie3DChart>
        <c:varyColors val="1"/>
        <c:ser>
          <c:idx val="0"/>
          <c:order val="0"/>
          <c:tx>
            <c:strRef>
              <c:f>Sheet1!$A$2</c:f>
              <c:strCache>
                <c:ptCount val="1"/>
              </c:strCache>
            </c:strRef>
          </c:tx>
          <c:spPr>
            <a:solidFill>
              <a:srgbClr val="9999FF"/>
            </a:solidFill>
            <a:ln w="10620">
              <a:solidFill>
                <a:srgbClr val="000000"/>
              </a:solidFill>
              <a:prstDash val="solid"/>
            </a:ln>
          </c:spPr>
          <c:explosion val="39"/>
          <c:dPt>
            <c:idx val="0"/>
            <c:bubble3D val="0"/>
          </c:dPt>
          <c:dPt>
            <c:idx val="1"/>
            <c:bubble3D val="0"/>
            <c:spPr>
              <a:solidFill>
                <a:srgbClr val="993366"/>
              </a:solidFill>
              <a:ln w="10620">
                <a:solidFill>
                  <a:srgbClr val="000000"/>
                </a:solidFill>
                <a:prstDash val="solid"/>
              </a:ln>
            </c:spPr>
          </c:dPt>
          <c:dPt>
            <c:idx val="2"/>
            <c:bubble3D val="0"/>
            <c:spPr>
              <a:solidFill>
                <a:srgbClr val="FFFFCC"/>
              </a:solidFill>
              <a:ln w="10620">
                <a:solidFill>
                  <a:srgbClr val="000000"/>
                </a:solidFill>
                <a:prstDash val="solid"/>
              </a:ln>
            </c:spPr>
          </c:dPt>
          <c:dLbls>
            <c:dLbl>
              <c:idx val="0"/>
              <c:layout>
                <c:manualLayout>
                  <c:x val="4.4008072104194516E-2"/>
                  <c:y val="-0.1411675645807432"/>
                </c:manualLayout>
              </c:layout>
              <c:tx>
                <c:rich>
                  <a:bodyPr/>
                  <a:lstStyle/>
                  <a:p>
                    <a:pPr>
                      <a:defRPr sz="594" b="0" i="0" u="none" strike="noStrike" baseline="0">
                        <a:solidFill>
                          <a:srgbClr val="000000"/>
                        </a:solidFill>
                        <a:latin typeface="Times New Roman"/>
                        <a:ea typeface="Times New Roman"/>
                        <a:cs typeface="Times New Roman"/>
                      </a:defRPr>
                    </a:pPr>
                    <a:r>
                      <a:rPr lang="ru-RU"/>
                      <a:t>Інші </a:t>
                    </a:r>
                  </a:p>
                  <a:p>
                    <a:pPr>
                      <a:defRPr sz="594" b="0" i="0" u="none" strike="noStrike" baseline="0">
                        <a:solidFill>
                          <a:srgbClr val="000000"/>
                        </a:solidFill>
                        <a:latin typeface="Times New Roman"/>
                        <a:ea typeface="Times New Roman"/>
                        <a:cs typeface="Times New Roman"/>
                      </a:defRPr>
                    </a:pPr>
                    <a:r>
                      <a:rPr lang="ru-RU"/>
                      <a:t>3392,4 тис.грн.  62,9%</a:t>
                    </a:r>
                  </a:p>
                </c:rich>
              </c:tx>
              <c:numFmt formatCode="0%" sourceLinked="0"/>
              <c:spPr>
                <a:noFill/>
                <a:ln w="21240">
                  <a:noFill/>
                </a:ln>
              </c:spPr>
              <c:dLblPos val="bestFit"/>
              <c:showLegendKey val="0"/>
              <c:showVal val="0"/>
              <c:showCatName val="0"/>
              <c:showSerName val="0"/>
              <c:showPercent val="0"/>
              <c:showBubbleSize val="0"/>
            </c:dLbl>
            <c:dLbl>
              <c:idx val="1"/>
              <c:layout>
                <c:manualLayout>
                  <c:x val="-8.7084514128624488E-2"/>
                  <c:y val="5.7173990949151751E-2"/>
                </c:manualLayout>
              </c:layout>
              <c:tx>
                <c:rich>
                  <a:bodyPr/>
                  <a:lstStyle/>
                  <a:p>
                    <a:r>
                      <a:rPr lang="ru-RU"/>
                      <a:t>Енергоносії 434,8 тис.грн. 8,1%</a:t>
                    </a:r>
                  </a:p>
                </c:rich>
              </c:tx>
              <c:dLblPos val="bestFit"/>
              <c:showLegendKey val="0"/>
              <c:showVal val="0"/>
              <c:showCatName val="0"/>
              <c:showSerName val="0"/>
              <c:showPercent val="0"/>
              <c:showBubbleSize val="0"/>
            </c:dLbl>
            <c:dLbl>
              <c:idx val="2"/>
              <c:layout>
                <c:manualLayout>
                  <c:x val="-3.0180260486307165E-2"/>
                  <c:y val="-0.11389694709213979"/>
                </c:manualLayout>
              </c:layout>
              <c:tx>
                <c:rich>
                  <a:bodyPr/>
                  <a:lstStyle/>
                  <a:p>
                    <a:r>
                      <a:rPr lang="ru-RU"/>
                      <a:t>Оплата праці з нарахуваннями 1562,1 тис.грн.</a:t>
                    </a:r>
                    <a:r>
                      <a:rPr lang="ru-RU" baseline="0"/>
                      <a:t> </a:t>
                    </a:r>
                    <a:r>
                      <a:rPr lang="ru-RU"/>
                      <a:t>29,0 %</a:t>
                    </a:r>
                  </a:p>
                </c:rich>
              </c:tx>
              <c:dLblPos val="bestFit"/>
              <c:showLegendKey val="0"/>
              <c:showVal val="0"/>
              <c:showCatName val="0"/>
              <c:showSerName val="0"/>
              <c:showPercent val="0"/>
              <c:showBubbleSize val="0"/>
            </c:dLbl>
            <c:dLbl>
              <c:idx val="3"/>
              <c:delete val="1"/>
            </c:dLbl>
            <c:dLbl>
              <c:idx val="4"/>
              <c:delete val="1"/>
            </c:dLbl>
            <c:dLbl>
              <c:idx val="5"/>
              <c:layout>
                <c:manualLayout>
                  <c:xMode val="edge"/>
                  <c:yMode val="edge"/>
                  <c:x val="5.6265984654731517E-2"/>
                  <c:y val="0.25592417061611372"/>
                </c:manualLayout>
              </c:layout>
              <c:tx>
                <c:rich>
                  <a:bodyPr/>
                  <a:lstStyle/>
                  <a:p>
                    <a:pPr>
                      <a:defRPr sz="940" b="0" i="0" u="none" strike="noStrike" baseline="0">
                        <a:solidFill>
                          <a:srgbClr val="000000"/>
                        </a:solidFill>
                        <a:latin typeface="Arial CYR"/>
                        <a:ea typeface="Arial CYR"/>
                        <a:cs typeface="Arial CYR"/>
                      </a:defRPr>
                    </a:pPr>
                    <a:r>
                      <a:t>видатки за рахунок субвенції з ДБ на ст. 57
3,3%</a:t>
                    </a:r>
                  </a:p>
                </c:rich>
              </c:tx>
              <c:numFmt formatCode="0%" sourceLinked="0"/>
              <c:spPr>
                <a:noFill/>
                <a:ln w="21240">
                  <a:noFill/>
                </a:ln>
              </c:spPr>
              <c:dLblPos val="bestFit"/>
              <c:showLegendKey val="0"/>
              <c:showVal val="0"/>
              <c:showCatName val="0"/>
              <c:showSerName val="0"/>
              <c:showPercent val="0"/>
              <c:showBubbleSize val="0"/>
            </c:dLbl>
            <c:numFmt formatCode="0%" sourceLinked="0"/>
            <c:spPr>
              <a:noFill/>
              <a:ln w="21240">
                <a:noFill/>
              </a:ln>
            </c:spPr>
            <c:txPr>
              <a:bodyPr/>
              <a:lstStyle/>
              <a:p>
                <a:pPr>
                  <a:defRPr sz="711"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dLbls>
          <c:cat>
            <c:strRef>
              <c:f>Sheet1!$B$1:$D$1</c:f>
              <c:strCache>
                <c:ptCount val="3"/>
                <c:pt idx="0">
                  <c:v>інші поточні</c:v>
                </c:pt>
                <c:pt idx="1">
                  <c:v>Енергоносії</c:v>
                </c:pt>
                <c:pt idx="2">
                  <c:v>Зарплата</c:v>
                </c:pt>
              </c:strCache>
            </c:strRef>
          </c:cat>
          <c:val>
            <c:numRef>
              <c:f>Sheet1!$B$2:$D$2</c:f>
              <c:numCache>
                <c:formatCode>General</c:formatCode>
                <c:ptCount val="3"/>
                <c:pt idx="0">
                  <c:v>3392.4</c:v>
                </c:pt>
                <c:pt idx="1">
                  <c:v>434.8</c:v>
                </c:pt>
                <c:pt idx="2">
                  <c:v>1562.1</c:v>
                </c:pt>
              </c:numCache>
            </c:numRef>
          </c:val>
        </c:ser>
        <c:ser>
          <c:idx val="1"/>
          <c:order val="1"/>
          <c:tx>
            <c:strRef>
              <c:f>Sheet1!$A$3</c:f>
              <c:strCache>
                <c:ptCount val="1"/>
              </c:strCache>
            </c:strRef>
          </c:tx>
          <c:spPr>
            <a:solidFill>
              <a:srgbClr val="993366"/>
            </a:solidFill>
            <a:ln w="10620">
              <a:solidFill>
                <a:srgbClr val="000000"/>
              </a:solidFill>
              <a:prstDash val="solid"/>
            </a:ln>
          </c:spPr>
          <c:explosion val="39"/>
          <c:dPt>
            <c:idx val="0"/>
            <c:bubble3D val="0"/>
            <c:spPr>
              <a:solidFill>
                <a:srgbClr val="9999FF"/>
              </a:solidFill>
              <a:ln w="10620">
                <a:solidFill>
                  <a:srgbClr val="000000"/>
                </a:solidFill>
                <a:prstDash val="solid"/>
              </a:ln>
            </c:spPr>
          </c:dPt>
          <c:dPt>
            <c:idx val="1"/>
            <c:bubble3D val="0"/>
          </c:dPt>
          <c:dPt>
            <c:idx val="2"/>
            <c:bubble3D val="0"/>
            <c:spPr>
              <a:solidFill>
                <a:srgbClr val="FFFFCC"/>
              </a:solidFill>
              <a:ln w="10620">
                <a:solidFill>
                  <a:srgbClr val="000000"/>
                </a:solidFill>
                <a:prstDash val="solid"/>
              </a:ln>
            </c:spPr>
          </c:dPt>
          <c:dLbls>
            <c:numFmt formatCode="0%" sourceLinked="0"/>
            <c:spPr>
              <a:noFill/>
              <a:ln w="21240">
                <a:noFill/>
              </a:ln>
            </c:spPr>
            <c:txPr>
              <a:bodyPr/>
              <a:lstStyle/>
              <a:p>
                <a:pPr>
                  <a:defRPr sz="1003"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Sheet1!$B$1:$D$1</c:f>
              <c:strCache>
                <c:ptCount val="3"/>
                <c:pt idx="0">
                  <c:v>інші поточні</c:v>
                </c:pt>
                <c:pt idx="1">
                  <c:v>Енергоносії</c:v>
                </c:pt>
                <c:pt idx="2">
                  <c:v>Зарплата</c:v>
                </c:pt>
              </c:strCache>
            </c:strRef>
          </c:cat>
          <c:val>
            <c:numRef>
              <c:f>Sheet1!$B$3:$D$3</c:f>
              <c:numCache>
                <c:formatCode>General</c:formatCode>
                <c:ptCount val="3"/>
              </c:numCache>
            </c:numRef>
          </c:val>
        </c:ser>
        <c:dLbls>
          <c:showLegendKey val="0"/>
          <c:showVal val="0"/>
          <c:showCatName val="1"/>
          <c:showSerName val="0"/>
          <c:showPercent val="1"/>
          <c:showBubbleSize val="0"/>
          <c:showLeaderLines val="1"/>
        </c:dLbls>
      </c:pie3DChart>
      <c:spPr>
        <a:solidFill>
          <a:srgbClr val="FFFFFF"/>
        </a:solidFill>
        <a:ln w="21240">
          <a:noFill/>
        </a:ln>
      </c:spPr>
    </c:plotArea>
    <c:plotVisOnly val="1"/>
    <c:dispBlanksAs val="zero"/>
    <c:showDLblsOverMax val="0"/>
  </c:chart>
  <c:spPr>
    <a:noFill/>
    <a:ln>
      <a:noFill/>
    </a:ln>
  </c:spPr>
  <c:txPr>
    <a:bodyPr/>
    <a:lstStyle/>
    <a:p>
      <a:pPr>
        <a:defRPr sz="77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sz="1200"/>
              <a:t>Порівняння видатків по загальному фонду по галузі "Культура та мистецтво" </a:t>
            </a:r>
          </a:p>
          <a:p>
            <a:pPr>
              <a:defRPr/>
            </a:pPr>
            <a:r>
              <a:rPr lang="ru-RU" sz="1200"/>
              <a:t>за 2014-2015 роки, тис.грн.</a:t>
            </a:r>
          </a:p>
        </c:rich>
      </c:tx>
      <c:layout>
        <c:manualLayout>
          <c:xMode val="edge"/>
          <c:yMode val="edge"/>
          <c:x val="0.11151678767426797"/>
          <c:y val="0"/>
        </c:manualLayout>
      </c:layout>
      <c:overlay val="1"/>
    </c:title>
    <c:autoTitleDeleted val="0"/>
    <c:view3D>
      <c:rotX val="0"/>
      <c:rotY val="0"/>
      <c:rAngAx val="1"/>
    </c:view3D>
    <c:floor>
      <c:thickness val="0"/>
    </c:floor>
    <c:sideWall>
      <c:thickness val="0"/>
    </c:sideWall>
    <c:backWall>
      <c:thickness val="0"/>
    </c:backWall>
    <c:plotArea>
      <c:layout>
        <c:manualLayout>
          <c:layoutTarget val="inner"/>
          <c:xMode val="edge"/>
          <c:yMode val="edge"/>
          <c:x val="9.1866780901092154E-2"/>
          <c:y val="0.13427090056365887"/>
          <c:w val="0.83124077439038091"/>
          <c:h val="0.5994584523088462"/>
        </c:manualLayout>
      </c:layout>
      <c:bar3DChart>
        <c:barDir val="col"/>
        <c:grouping val="clustered"/>
        <c:varyColors val="1"/>
        <c:ser>
          <c:idx val="0"/>
          <c:order val="0"/>
          <c:tx>
            <c:strRef>
              <c:f>Лист1!$B$22</c:f>
              <c:strCache>
                <c:ptCount val="1"/>
                <c:pt idx="0">
                  <c:v>2014 рік</c:v>
                </c:pt>
              </c:strCache>
            </c:strRef>
          </c:tx>
          <c:spPr>
            <a:solidFill>
              <a:srgbClr val="558ED5"/>
            </a:solidFill>
          </c:spPr>
          <c:invertIfNegative val="1"/>
          <c:cat>
            <c:strRef>
              <c:f>Лист1!$C$21:$H$21</c:f>
              <c:strCache>
                <c:ptCount val="6"/>
                <c:pt idx="0">
                  <c:v>Заробітна плата з нархуваннями</c:v>
                </c:pt>
                <c:pt idx="1">
                  <c:v>Оплата комунальних послуг та енергоносіїв</c:v>
                </c:pt>
                <c:pt idx="2">
                  <c:v>Інші видатки</c:v>
                </c:pt>
                <c:pt idx="3">
                  <c:v>Видатки на програму святкування </c:v>
                </c:pt>
                <c:pt idx="4">
                  <c:v>Трансферти</c:v>
                </c:pt>
                <c:pt idx="5">
                  <c:v>Всього</c:v>
                </c:pt>
              </c:strCache>
            </c:strRef>
          </c:cat>
          <c:val>
            <c:numRef>
              <c:f>Лист1!$C$22:$H$22</c:f>
              <c:numCache>
                <c:formatCode>0.0</c:formatCode>
                <c:ptCount val="6"/>
                <c:pt idx="0">
                  <c:v>28024.7</c:v>
                </c:pt>
                <c:pt idx="1">
                  <c:v>1424.9</c:v>
                </c:pt>
                <c:pt idx="2">
                  <c:v>6701.7</c:v>
                </c:pt>
                <c:pt idx="3">
                  <c:v>412.9</c:v>
                </c:pt>
                <c:pt idx="4">
                  <c:v>5965.5</c:v>
                </c:pt>
                <c:pt idx="5">
                  <c:v>36564.200000000004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Лист1!$B$23</c:f>
              <c:strCache>
                <c:ptCount val="1"/>
                <c:pt idx="0">
                  <c:v>2015 рік</c:v>
                </c:pt>
              </c:strCache>
            </c:strRef>
          </c:tx>
          <c:spPr>
            <a:solidFill>
              <a:srgbClr val="C3D69B"/>
            </a:solidFill>
          </c:spPr>
          <c:invertIfNegative val="1"/>
          <c:cat>
            <c:strRef>
              <c:f>Лист1!$C$21:$H$21</c:f>
              <c:strCache>
                <c:ptCount val="6"/>
                <c:pt idx="0">
                  <c:v>Заробітна плата з нархуваннями</c:v>
                </c:pt>
                <c:pt idx="1">
                  <c:v>Оплата комунальних послуг та енергоносіїв</c:v>
                </c:pt>
                <c:pt idx="2">
                  <c:v>Інші видатки</c:v>
                </c:pt>
                <c:pt idx="3">
                  <c:v>Видатки на програму святкування </c:v>
                </c:pt>
                <c:pt idx="4">
                  <c:v>Трансферти</c:v>
                </c:pt>
                <c:pt idx="5">
                  <c:v>Всього</c:v>
                </c:pt>
              </c:strCache>
            </c:strRef>
          </c:cat>
          <c:val>
            <c:numRef>
              <c:f>Лист1!$C$23:$H$23</c:f>
              <c:numCache>
                <c:formatCode>0.0</c:formatCode>
                <c:ptCount val="6"/>
                <c:pt idx="0">
                  <c:v>32219</c:v>
                </c:pt>
                <c:pt idx="1">
                  <c:v>2482</c:v>
                </c:pt>
                <c:pt idx="2">
                  <c:v>9482.1</c:v>
                </c:pt>
                <c:pt idx="3">
                  <c:v>807.1</c:v>
                </c:pt>
                <c:pt idx="4">
                  <c:v>8117.1</c:v>
                </c:pt>
                <c:pt idx="5">
                  <c:v>44990.2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153567232"/>
        <c:axId val="153568768"/>
        <c:axId val="0"/>
      </c:bar3DChart>
      <c:catAx>
        <c:axId val="153567232"/>
        <c:scaling>
          <c:orientation val="minMax"/>
        </c:scaling>
        <c:delete val="1"/>
        <c:axPos val="b"/>
        <c:majorTickMark val="cross"/>
        <c:minorTickMark val="cross"/>
        <c:tickLblPos val="nextTo"/>
        <c:crossAx val="153568768"/>
        <c:crosses val="autoZero"/>
        <c:auto val="1"/>
        <c:lblAlgn val="ctr"/>
        <c:lblOffset val="100"/>
        <c:noMultiLvlLbl val="1"/>
      </c:catAx>
      <c:valAx>
        <c:axId val="153568768"/>
        <c:scaling>
          <c:orientation val="minMax"/>
        </c:scaling>
        <c:delete val="1"/>
        <c:axPos val="l"/>
        <c:majorGridlines/>
        <c:numFmt formatCode="0.0" sourceLinked="1"/>
        <c:majorTickMark val="cross"/>
        <c:minorTickMark val="cross"/>
        <c:tickLblPos val="nextTo"/>
        <c:crossAx val="153567232"/>
        <c:crosses val="autoZero"/>
        <c:crossBetween val="between"/>
      </c:valAx>
      <c:dTable>
        <c:showHorzBorder val="1"/>
        <c:showVertBorder val="1"/>
        <c:showOutline val="1"/>
        <c:showKeys val="1"/>
      </c:dTable>
    </c:plotArea>
    <c:plotVisOnly val="1"/>
    <c:dispBlanksAs val="zero"/>
    <c:showDLblsOverMax val="1"/>
  </c:chart>
  <c:externalData r:id="rId1">
    <c:autoUpdate val="1"/>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hPercent val="34"/>
      <c:rotY val="0"/>
      <c:depthPercent val="100"/>
      <c:rAngAx val="1"/>
    </c:view3D>
    <c:floor>
      <c:thickness val="0"/>
      <c:spPr>
        <a:noFill/>
        <a:ln w="3175">
          <a:solidFill>
            <a:schemeClr val="tx1">
              <a:lumMod val="50000"/>
              <a:lumOff val="50000"/>
            </a:schemeClr>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2460468660089062E-2"/>
          <c:y val="0.13829827241744075"/>
          <c:w val="0.91666802300548045"/>
          <c:h val="0.5815622976309599"/>
        </c:manualLayout>
      </c:layout>
      <c:bar3DChart>
        <c:barDir val="col"/>
        <c:grouping val="clustered"/>
        <c:varyColors val="1"/>
        <c:ser>
          <c:idx val="0"/>
          <c:order val="0"/>
          <c:tx>
            <c:strRef>
              <c:f>Лист4!$A$2</c:f>
              <c:strCache>
                <c:ptCount val="1"/>
                <c:pt idx="0">
                  <c:v>2014</c:v>
                </c:pt>
              </c:strCache>
            </c:strRef>
          </c:tx>
          <c:spPr>
            <a:solidFill>
              <a:srgbClr val="C3D69B"/>
            </a:solidFill>
            <a:ln w="12700">
              <a:solidFill>
                <a:srgbClr val="000000"/>
              </a:solidFill>
              <a:prstDash val="solid"/>
            </a:ln>
          </c:spPr>
          <c:invertIfNegative val="1"/>
          <c:cat>
            <c:strRef>
              <c:f>Лист4!$B$1:$H$1</c:f>
              <c:strCache>
                <c:ptCount val="7"/>
                <c:pt idx="0">
                  <c:v>Заробітна плата з нарахування</c:v>
                </c:pt>
                <c:pt idx="1">
                  <c:v>Медика-менти</c:v>
                </c:pt>
                <c:pt idx="2">
                  <c:v>Харчування</c:v>
                </c:pt>
                <c:pt idx="3">
                  <c:v>Оплата комунальних послуг</c:v>
                </c:pt>
                <c:pt idx="4">
                  <c:v>Інші видатки</c:v>
                </c:pt>
                <c:pt idx="5">
                  <c:v>Трансферти</c:v>
                </c:pt>
                <c:pt idx="6">
                  <c:v>Всього</c:v>
                </c:pt>
              </c:strCache>
            </c:strRef>
          </c:cat>
          <c:val>
            <c:numRef>
              <c:f>Лист4!$B$2:$H$2</c:f>
              <c:numCache>
                <c:formatCode>General</c:formatCode>
                <c:ptCount val="7"/>
                <c:pt idx="0">
                  <c:v>7799.8</c:v>
                </c:pt>
                <c:pt idx="1">
                  <c:v>9.6</c:v>
                </c:pt>
                <c:pt idx="2">
                  <c:v>233.1</c:v>
                </c:pt>
                <c:pt idx="3">
                  <c:v>446.5</c:v>
                </c:pt>
                <c:pt idx="4">
                  <c:v>1281.5</c:v>
                </c:pt>
                <c:pt idx="5">
                  <c:v>1860.4</c:v>
                </c:pt>
                <c:pt idx="6" formatCode="0.0">
                  <c:v>11630.9</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
          <c:order val="1"/>
          <c:tx>
            <c:strRef>
              <c:f>Лист4!$A$3</c:f>
              <c:strCache>
                <c:ptCount val="1"/>
                <c:pt idx="0">
                  <c:v>2015</c:v>
                </c:pt>
              </c:strCache>
            </c:strRef>
          </c:tx>
          <c:spPr>
            <a:solidFill>
              <a:srgbClr val="E46C0A"/>
            </a:solidFill>
            <a:ln>
              <a:solidFill>
                <a:schemeClr val="tx1"/>
              </a:solidFill>
            </a:ln>
            <a:scene3d>
              <a:camera prst="orthographicFront"/>
              <a:lightRig rig="threePt" dir="t"/>
            </a:scene3d>
            <a:sp3d prstMaterial="matte"/>
          </c:spPr>
          <c:invertIfNegative val="1"/>
          <c:cat>
            <c:strRef>
              <c:f>Лист4!$B$1:$H$1</c:f>
              <c:strCache>
                <c:ptCount val="7"/>
                <c:pt idx="0">
                  <c:v>Заробітна плата з нарахування</c:v>
                </c:pt>
                <c:pt idx="1">
                  <c:v>Медика-менти</c:v>
                </c:pt>
                <c:pt idx="2">
                  <c:v>Харчування</c:v>
                </c:pt>
                <c:pt idx="3">
                  <c:v>Оплата комунальних послуг</c:v>
                </c:pt>
                <c:pt idx="4">
                  <c:v>Інші видатки</c:v>
                </c:pt>
                <c:pt idx="5">
                  <c:v>Трансферти</c:v>
                </c:pt>
                <c:pt idx="6">
                  <c:v>Всього</c:v>
                </c:pt>
              </c:strCache>
            </c:strRef>
          </c:cat>
          <c:val>
            <c:numRef>
              <c:f>Лист4!$B$3:$H$3</c:f>
              <c:numCache>
                <c:formatCode>General</c:formatCode>
                <c:ptCount val="7"/>
                <c:pt idx="0">
                  <c:v>9432.7999999999993</c:v>
                </c:pt>
                <c:pt idx="1">
                  <c:v>10.7</c:v>
                </c:pt>
                <c:pt idx="2">
                  <c:v>256.2</c:v>
                </c:pt>
                <c:pt idx="3">
                  <c:v>615.29999999999995</c:v>
                </c:pt>
                <c:pt idx="4">
                  <c:v>1995.6</c:v>
                </c:pt>
                <c:pt idx="5" formatCode="0.0">
                  <c:v>2466</c:v>
                </c:pt>
                <c:pt idx="6" formatCode="0.0">
                  <c:v>14776.6</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a:scene3d>
                    <a:camera prst="orthographicFront"/>
                    <a:lightRig rig="threePt" dir="t"/>
                  </a:scene3d>
                  <a:sp3d prstMaterial="matte"/>
                </c14:spPr>
              </c14:invertSolidFillFmt>
            </c:ext>
          </c:extLst>
        </c:ser>
        <c:dLbls>
          <c:showLegendKey val="0"/>
          <c:showVal val="0"/>
          <c:showCatName val="0"/>
          <c:showSerName val="0"/>
          <c:showPercent val="0"/>
          <c:showBubbleSize val="0"/>
        </c:dLbls>
        <c:gapWidth val="150"/>
        <c:shape val="box"/>
        <c:axId val="153648512"/>
        <c:axId val="153654400"/>
        <c:axId val="0"/>
      </c:bar3DChart>
      <c:catAx>
        <c:axId val="153648512"/>
        <c:scaling>
          <c:orientation val="minMax"/>
        </c:scaling>
        <c:delete val="1"/>
        <c:axPos val="b"/>
        <c:numFmt formatCode="General" sourceLinked="1"/>
        <c:majorTickMark val="cross"/>
        <c:minorTickMark val="cross"/>
        <c:tickLblPos val="low"/>
        <c:crossAx val="153654400"/>
        <c:crosses val="autoZero"/>
        <c:auto val="1"/>
        <c:lblAlgn val="ctr"/>
        <c:lblOffset val="100"/>
        <c:tickLblSkip val="1"/>
        <c:tickMarkSkip val="1"/>
        <c:noMultiLvlLbl val="1"/>
      </c:catAx>
      <c:valAx>
        <c:axId val="153654400"/>
        <c:scaling>
          <c:orientation val="minMax"/>
        </c:scaling>
        <c:delete val="1"/>
        <c:axPos val="l"/>
        <c:majorGridlines>
          <c:spPr>
            <a:ln w="3175">
              <a:solidFill>
                <a:srgbClr val="000000"/>
              </a:solidFill>
              <a:prstDash val="solid"/>
            </a:ln>
          </c:spPr>
        </c:majorGridlines>
        <c:numFmt formatCode="General" sourceLinked="1"/>
        <c:majorTickMark val="cross"/>
        <c:minorTickMark val="cross"/>
        <c:tickLblPos val="nextTo"/>
        <c:crossAx val="153648512"/>
        <c:crosses val="autoZero"/>
        <c:crossBetween val="between"/>
      </c:valAx>
      <c:dTable>
        <c:showHorzBorder val="1"/>
        <c:showVertBorder val="1"/>
        <c:showOutline val="1"/>
        <c:showKeys val="1"/>
        <c:txPr>
          <a:bodyPr/>
          <a:lstStyle/>
          <a:p>
            <a:pPr rtl="0">
              <a:defRPr sz="850" b="1" baseline="0">
                <a:latin typeface="Times New Roman" pitchFamily="18" charset="0"/>
                <a:cs typeface="Times New Roman" pitchFamily="18" charset="0"/>
              </a:defRPr>
            </a:pPr>
            <a:endParaRPr lang="ru-RU"/>
          </a:p>
        </c:txPr>
      </c:dTable>
      <c:spPr>
        <a:noFill/>
        <a:ln w="25400">
          <a:noFill/>
        </a:ln>
      </c:spPr>
    </c:plotArea>
    <c:plotVisOnly val="1"/>
    <c:dispBlanksAs val="gap"/>
    <c:showDLblsOverMax val="1"/>
  </c:chart>
  <c:spPr>
    <a:solidFill>
      <a:srgbClr val="FFFFFF"/>
    </a:solidFill>
    <a:ln w="9525">
      <a:noFill/>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0.0829</cdr:x>
      <cdr:y>0.00481</cdr:y>
    </cdr:from>
    <cdr:to>
      <cdr:x>0.82642</cdr:x>
      <cdr:y>0.09135</cdr:y>
    </cdr:to>
    <cdr:sp macro="" textlink="">
      <cdr:nvSpPr>
        <cdr:cNvPr id="9" name="TextBox 8"/>
        <cdr:cNvSpPr txBox="1"/>
      </cdr:nvSpPr>
      <cdr:spPr>
        <a:xfrm xmlns:a="http://schemas.openxmlformats.org/drawingml/2006/main">
          <a:off x="609600" y="19050"/>
          <a:ext cx="5467350"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0.08312</cdr:x>
      <cdr:y>0.00617</cdr:y>
    </cdr:from>
    <cdr:to>
      <cdr:x>0.92857</cdr:x>
      <cdr:y>0.1358</cdr:y>
    </cdr:to>
    <cdr:sp macro="" textlink="">
      <cdr:nvSpPr>
        <cdr:cNvPr id="10" name="TextBox 9"/>
        <cdr:cNvSpPr txBox="1"/>
      </cdr:nvSpPr>
      <cdr:spPr>
        <a:xfrm xmlns:a="http://schemas.openxmlformats.org/drawingml/2006/main">
          <a:off x="609599" y="28574"/>
          <a:ext cx="6200775" cy="600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0.24193</cdr:x>
      <cdr:y>0.27102</cdr:y>
    </cdr:from>
    <cdr:to>
      <cdr:x>0.54843</cdr:x>
      <cdr:y>0.41935</cdr:y>
    </cdr:to>
    <cdr:sp macro="" textlink="">
      <cdr:nvSpPr>
        <cdr:cNvPr id="11" name="Выноска-облако 10"/>
        <cdr:cNvSpPr/>
      </cdr:nvSpPr>
      <cdr:spPr>
        <a:xfrm xmlns:a="http://schemas.openxmlformats.org/drawingml/2006/main">
          <a:off x="1617699" y="1120336"/>
          <a:ext cx="2049425" cy="613214"/>
        </a:xfrm>
        <a:prstGeom xmlns:a="http://schemas.openxmlformats.org/drawingml/2006/main" prst="cloudCallou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ru-RU" b="1"/>
            <a:t>Всього за 2014 рік </a:t>
          </a:r>
        </a:p>
        <a:p xmlns:a="http://schemas.openxmlformats.org/drawingml/2006/main">
          <a:pPr algn="ctr"/>
          <a:r>
            <a:rPr lang="ru-RU" b="1"/>
            <a:t>36564,2 тис.грн</a:t>
          </a:r>
        </a:p>
      </cdr:txBody>
    </cdr:sp>
  </cdr:relSizeAnchor>
  <cdr:relSizeAnchor xmlns:cdr="http://schemas.openxmlformats.org/drawingml/2006/chartDrawing">
    <cdr:from>
      <cdr:x>0.51282</cdr:x>
      <cdr:y>0.1368</cdr:y>
    </cdr:from>
    <cdr:to>
      <cdr:x>0.81766</cdr:x>
      <cdr:y>0.28341</cdr:y>
    </cdr:to>
    <cdr:sp macro="" textlink="">
      <cdr:nvSpPr>
        <cdr:cNvPr id="12" name="Выноска-облако 11"/>
        <cdr:cNvSpPr/>
      </cdr:nvSpPr>
      <cdr:spPr>
        <a:xfrm xmlns:a="http://schemas.openxmlformats.org/drawingml/2006/main">
          <a:off x="3429000" y="565506"/>
          <a:ext cx="2038350" cy="606070"/>
        </a:xfrm>
        <a:prstGeom xmlns:a="http://schemas.openxmlformats.org/drawingml/2006/main" prst="cloudCallou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ru-RU" b="1"/>
            <a:t>Всього</a:t>
          </a:r>
          <a:r>
            <a:rPr lang="ru-RU" b="1" baseline="0"/>
            <a:t> за 2015 рік 44990,2 тис.грн.</a:t>
          </a:r>
          <a:endParaRPr lang="ru-RU" b="1"/>
        </a:p>
      </cdr:txBody>
    </cdr:sp>
  </cdr:relSizeAnchor>
  <cdr:relSizeAnchor xmlns:cdr="http://schemas.openxmlformats.org/drawingml/2006/chartDrawing">
    <cdr:from>
      <cdr:x>0.48502</cdr:x>
      <cdr:y>0.33402</cdr:y>
    </cdr:from>
    <cdr:to>
      <cdr:x>0.54608</cdr:x>
      <cdr:y>0.3873</cdr:y>
    </cdr:to>
    <cdr:sp macro="" textlink="">
      <cdr:nvSpPr>
        <cdr:cNvPr id="14" name="TextBox 13"/>
        <cdr:cNvSpPr txBox="1"/>
      </cdr:nvSpPr>
      <cdr:spPr>
        <a:xfrm xmlns:a="http://schemas.openxmlformats.org/drawingml/2006/main">
          <a:off x="4010025" y="1552575"/>
          <a:ext cx="504825"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0.40485</cdr:x>
      <cdr:y>0.16896</cdr:y>
    </cdr:from>
    <cdr:to>
      <cdr:x>0.51139</cdr:x>
      <cdr:y>0.22126</cdr:y>
    </cdr:to>
    <cdr:sp macro="" textlink="">
      <cdr:nvSpPr>
        <cdr:cNvPr id="15" name="TextBox 14"/>
        <cdr:cNvSpPr txBox="1"/>
      </cdr:nvSpPr>
      <cdr:spPr>
        <a:xfrm xmlns:a="http://schemas.openxmlformats.org/drawingml/2006/main">
          <a:off x="2707063" y="732238"/>
          <a:ext cx="712385" cy="2266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200" b="1"/>
            <a:t>+ 23,0 %</a:t>
          </a:r>
        </a:p>
      </cdr:txBody>
    </cdr:sp>
  </cdr:relSizeAnchor>
  <cdr:relSizeAnchor xmlns:cdr="http://schemas.openxmlformats.org/drawingml/2006/chartDrawing">
    <cdr:from>
      <cdr:x>0.36604</cdr:x>
      <cdr:y>0.11881</cdr:y>
    </cdr:from>
    <cdr:to>
      <cdr:x>0.55464</cdr:x>
      <cdr:y>0.19665</cdr:y>
    </cdr:to>
    <cdr:sp macro="" textlink="">
      <cdr:nvSpPr>
        <cdr:cNvPr id="16" name="Выгнутая вверх стрелка 15"/>
        <cdr:cNvSpPr/>
      </cdr:nvSpPr>
      <cdr:spPr>
        <a:xfrm xmlns:a="http://schemas.openxmlformats.org/drawingml/2006/main" rot="20385165">
          <a:off x="2447528" y="491143"/>
          <a:ext cx="1261112" cy="321777"/>
        </a:xfrm>
        <a:prstGeom xmlns:a="http://schemas.openxmlformats.org/drawingml/2006/main" prst="curvedDownArrow">
          <a:avLst>
            <a:gd name="adj1" fmla="val 24031"/>
            <a:gd name="adj2" fmla="val 50000"/>
            <a:gd name="adj3" fmla="val 61171"/>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0.22648</cdr:x>
      <cdr:y>0.18886</cdr:y>
    </cdr:from>
    <cdr:to>
      <cdr:x>0.72533</cdr:x>
      <cdr:y>0.66122</cdr:y>
    </cdr:to>
    <cdr:grpSp>
      <cdr:nvGrpSpPr>
        <cdr:cNvPr id="17" name="Группа 16"/>
        <cdr:cNvGrpSpPr/>
      </cdr:nvGrpSpPr>
      <cdr:grpSpPr>
        <a:xfrm xmlns:a="http://schemas.openxmlformats.org/drawingml/2006/main">
          <a:off x="1514370" y="818496"/>
          <a:ext cx="3335585" cy="2047149"/>
          <a:chOff x="1624284" y="1026356"/>
          <a:chExt cx="4124325" cy="2195606"/>
        </a:xfrm>
      </cdr:grpSpPr>
      <cdr:sp macro="" textlink="">
        <cdr:nvSpPr>
          <cdr:cNvPr id="3" name="Стрелка вверх 2"/>
          <cdr:cNvSpPr/>
        </cdr:nvSpPr>
        <cdr:spPr>
          <a:xfrm xmlns:a="http://schemas.openxmlformats.org/drawingml/2006/main">
            <a:off x="1624284" y="1026356"/>
            <a:ext cx="139223" cy="376225"/>
          </a:xfrm>
          <a:prstGeom xmlns:a="http://schemas.openxmlformats.org/drawingml/2006/main" prst="upArrow">
            <a:avLst/>
          </a:prstGeom>
          <a:solidFill xmlns:a="http://schemas.openxmlformats.org/drawingml/2006/main">
            <a:schemeClr val="accent6"/>
          </a:solidFill>
          <a:ln xmlns:a="http://schemas.openxmlformats.org/drawingml/2006/main">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sp macro="" textlink="">
        <cdr:nvSpPr>
          <cdr:cNvPr id="4" name="Стрелка вверх 3"/>
          <cdr:cNvSpPr/>
        </cdr:nvSpPr>
        <cdr:spPr>
          <a:xfrm xmlns:a="http://schemas.openxmlformats.org/drawingml/2006/main">
            <a:off x="3670974" y="2334172"/>
            <a:ext cx="139223" cy="376225"/>
          </a:xfrm>
          <a:prstGeom xmlns:a="http://schemas.openxmlformats.org/drawingml/2006/main" prst="upArrow">
            <a:avLst/>
          </a:prstGeom>
          <a:solidFill xmlns:a="http://schemas.openxmlformats.org/drawingml/2006/main">
            <a:schemeClr val="accent6"/>
          </a:solidFill>
          <a:ln xmlns:a="http://schemas.openxmlformats.org/drawingml/2006/main">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ru-RU"/>
          </a:p>
        </cdr:txBody>
      </cdr:sp>
      <cdr:sp macro="" textlink="">
        <cdr:nvSpPr>
          <cdr:cNvPr id="5" name="Стрелка вверх 4"/>
          <cdr:cNvSpPr/>
        </cdr:nvSpPr>
        <cdr:spPr>
          <a:xfrm xmlns:a="http://schemas.openxmlformats.org/drawingml/2006/main">
            <a:off x="2622632" y="2777221"/>
            <a:ext cx="139223" cy="376225"/>
          </a:xfrm>
          <a:prstGeom xmlns:a="http://schemas.openxmlformats.org/drawingml/2006/main" prst="upArrow">
            <a:avLst/>
          </a:prstGeom>
          <a:solidFill xmlns:a="http://schemas.openxmlformats.org/drawingml/2006/main">
            <a:schemeClr val="accent6"/>
          </a:solidFill>
          <a:ln xmlns:a="http://schemas.openxmlformats.org/drawingml/2006/main">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ru-RU"/>
          </a:p>
        </cdr:txBody>
      </cdr:sp>
      <cdr:sp macro="" textlink="">
        <cdr:nvSpPr>
          <cdr:cNvPr id="6" name="Стрелка вверх 5"/>
          <cdr:cNvSpPr/>
        </cdr:nvSpPr>
        <cdr:spPr>
          <a:xfrm xmlns:a="http://schemas.openxmlformats.org/drawingml/2006/main">
            <a:off x="4627669" y="2845737"/>
            <a:ext cx="139223" cy="376225"/>
          </a:xfrm>
          <a:prstGeom xmlns:a="http://schemas.openxmlformats.org/drawingml/2006/main" prst="upArrow">
            <a:avLst/>
          </a:prstGeom>
          <a:solidFill xmlns:a="http://schemas.openxmlformats.org/drawingml/2006/main">
            <a:schemeClr val="accent6"/>
          </a:solidFill>
          <a:ln xmlns:a="http://schemas.openxmlformats.org/drawingml/2006/main">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ru-RU"/>
          </a:p>
        </cdr:txBody>
      </cdr:sp>
      <cdr:sp macro="" textlink="">
        <cdr:nvSpPr>
          <cdr:cNvPr id="7" name="Стрелка вверх 6"/>
          <cdr:cNvSpPr/>
        </cdr:nvSpPr>
        <cdr:spPr>
          <a:xfrm xmlns:a="http://schemas.openxmlformats.org/drawingml/2006/main">
            <a:off x="5609386" y="2406990"/>
            <a:ext cx="139223" cy="376225"/>
          </a:xfrm>
          <a:prstGeom xmlns:a="http://schemas.openxmlformats.org/drawingml/2006/main" prst="upArrow">
            <a:avLst/>
          </a:prstGeom>
          <a:solidFill xmlns:a="http://schemas.openxmlformats.org/drawingml/2006/main">
            <a:schemeClr val="accent6"/>
          </a:solidFill>
          <a:ln xmlns:a="http://schemas.openxmlformats.org/drawingml/2006/main">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ru-RU"/>
          </a:p>
        </cdr:txBody>
      </cdr:sp>
    </cdr:grpSp>
  </cdr:relSizeAnchor>
  <cdr:relSizeAnchor xmlns:cdr="http://schemas.openxmlformats.org/drawingml/2006/chartDrawing">
    <cdr:from>
      <cdr:x>0.17664</cdr:x>
      <cdr:y>0.08986</cdr:y>
    </cdr:from>
    <cdr:to>
      <cdr:x>0.25783</cdr:x>
      <cdr:y>0.14747</cdr:y>
    </cdr:to>
    <cdr:sp macro="" textlink="">
      <cdr:nvSpPr>
        <cdr:cNvPr id="18" name="TextBox 17"/>
        <cdr:cNvSpPr txBox="1"/>
      </cdr:nvSpPr>
      <cdr:spPr>
        <a:xfrm xmlns:a="http://schemas.openxmlformats.org/drawingml/2006/main">
          <a:off x="1181100" y="371475"/>
          <a:ext cx="542925" cy="238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0.18946</cdr:x>
      <cdr:y>0.08525</cdr:y>
    </cdr:from>
    <cdr:to>
      <cdr:x>0.26353</cdr:x>
      <cdr:y>0.13364</cdr:y>
    </cdr:to>
    <cdr:sp macro="" textlink="">
      <cdr:nvSpPr>
        <cdr:cNvPr id="19" name="TextBox 18"/>
        <cdr:cNvSpPr txBox="1"/>
      </cdr:nvSpPr>
      <cdr:spPr>
        <a:xfrm xmlns:a="http://schemas.openxmlformats.org/drawingml/2006/main">
          <a:off x="1266825" y="352425"/>
          <a:ext cx="495300"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0.16809</cdr:x>
      <cdr:y>0.10503</cdr:y>
    </cdr:from>
    <cdr:to>
      <cdr:x>0.30484</cdr:x>
      <cdr:y>0.15803</cdr:y>
    </cdr:to>
    <cdr:sp macro="" textlink="">
      <cdr:nvSpPr>
        <cdr:cNvPr id="20" name="TextBox 19"/>
        <cdr:cNvSpPr txBox="1"/>
      </cdr:nvSpPr>
      <cdr:spPr>
        <a:xfrm xmlns:a="http://schemas.openxmlformats.org/drawingml/2006/main">
          <a:off x="1123949" y="455188"/>
          <a:ext cx="914386" cy="22969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на 15,0 %</a:t>
          </a:r>
        </a:p>
      </cdr:txBody>
    </cdr:sp>
  </cdr:relSizeAnchor>
  <cdr:relSizeAnchor xmlns:cdr="http://schemas.openxmlformats.org/drawingml/2006/chartDrawing">
    <cdr:from>
      <cdr:x>0.30199</cdr:x>
      <cdr:y>0.48993</cdr:y>
    </cdr:from>
    <cdr:to>
      <cdr:x>0.41595</cdr:x>
      <cdr:y>0.54753</cdr:y>
    </cdr:to>
    <cdr:sp macro="" textlink="">
      <cdr:nvSpPr>
        <cdr:cNvPr id="21" name="TextBox 20"/>
        <cdr:cNvSpPr txBox="1"/>
      </cdr:nvSpPr>
      <cdr:spPr>
        <a:xfrm xmlns:a="http://schemas.openxmlformats.org/drawingml/2006/main">
          <a:off x="2019271" y="2123306"/>
          <a:ext cx="761999" cy="24963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t>на 74,2%</a:t>
          </a:r>
        </a:p>
      </cdr:txBody>
    </cdr:sp>
  </cdr:relSizeAnchor>
  <cdr:relSizeAnchor xmlns:cdr="http://schemas.openxmlformats.org/drawingml/2006/chartDrawing">
    <cdr:from>
      <cdr:x>0.4359</cdr:x>
      <cdr:y>0.40773</cdr:y>
    </cdr:from>
    <cdr:to>
      <cdr:x>0.56125</cdr:x>
      <cdr:y>0.46073</cdr:y>
    </cdr:to>
    <cdr:sp macro="" textlink="">
      <cdr:nvSpPr>
        <cdr:cNvPr id="22" name="TextBox 21"/>
        <cdr:cNvSpPr txBox="1"/>
      </cdr:nvSpPr>
      <cdr:spPr>
        <a:xfrm xmlns:a="http://schemas.openxmlformats.org/drawingml/2006/main">
          <a:off x="2914677" y="1767041"/>
          <a:ext cx="838159" cy="22969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t>на 41,5%</a:t>
          </a:r>
        </a:p>
      </cdr:txBody>
    </cdr:sp>
  </cdr:relSizeAnchor>
  <cdr:relSizeAnchor xmlns:cdr="http://schemas.openxmlformats.org/drawingml/2006/chartDrawing">
    <cdr:from>
      <cdr:x>0.53704</cdr:x>
      <cdr:y>0.5</cdr:y>
    </cdr:from>
    <cdr:to>
      <cdr:x>0.6453</cdr:x>
      <cdr:y>0.5576</cdr:y>
    </cdr:to>
    <cdr:sp macro="" textlink="">
      <cdr:nvSpPr>
        <cdr:cNvPr id="23" name="TextBox 22"/>
        <cdr:cNvSpPr txBox="1"/>
      </cdr:nvSpPr>
      <cdr:spPr>
        <a:xfrm xmlns:a="http://schemas.openxmlformats.org/drawingml/2006/main">
          <a:off x="3590925" y="2066925"/>
          <a:ext cx="723900" cy="238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t>в 2 рази</a:t>
          </a:r>
        </a:p>
      </cdr:txBody>
    </cdr:sp>
  </cdr:relSizeAnchor>
  <cdr:relSizeAnchor xmlns:cdr="http://schemas.openxmlformats.org/drawingml/2006/chartDrawing">
    <cdr:from>
      <cdr:x>0.66096</cdr:x>
      <cdr:y>0.42333</cdr:y>
    </cdr:from>
    <cdr:to>
      <cdr:x>0.7792</cdr:x>
      <cdr:y>0.46711</cdr:y>
    </cdr:to>
    <cdr:sp macro="" textlink="">
      <cdr:nvSpPr>
        <cdr:cNvPr id="24" name="TextBox 23"/>
        <cdr:cNvSpPr txBox="1"/>
      </cdr:nvSpPr>
      <cdr:spPr>
        <a:xfrm xmlns:a="http://schemas.openxmlformats.org/drawingml/2006/main">
          <a:off x="4419569" y="1834645"/>
          <a:ext cx="790618" cy="18973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t>на 36,1%</a:t>
          </a:r>
        </a:p>
      </cdr:txBody>
    </cdr:sp>
  </cdr:relSizeAnchor>
</c:userShapes>
</file>

<file path=word/drawings/drawing2.xml><?xml version="1.0" encoding="utf-8"?>
<c:userShapes xmlns:c="http://schemas.openxmlformats.org/drawingml/2006/chart">
  <cdr:relSizeAnchor xmlns:cdr="http://schemas.openxmlformats.org/drawingml/2006/chartDrawing">
    <cdr:from>
      <cdr:x>0.24801</cdr:x>
      <cdr:y>0.28358</cdr:y>
    </cdr:from>
    <cdr:to>
      <cdr:x>0.45379</cdr:x>
      <cdr:y>0.4646</cdr:y>
    </cdr:to>
    <cdr:sp macro="" textlink="">
      <cdr:nvSpPr>
        <cdr:cNvPr id="18434" name="AutoShape 1026"/>
        <cdr:cNvSpPr>
          <a:spLocks xmlns:a="http://schemas.openxmlformats.org/drawingml/2006/main" noChangeArrowheads="1"/>
        </cdr:cNvSpPr>
      </cdr:nvSpPr>
      <cdr:spPr bwMode="auto">
        <a:xfrm xmlns:a="http://schemas.openxmlformats.org/drawingml/2006/main">
          <a:off x="1941649" y="1085850"/>
          <a:ext cx="1611034" cy="693127"/>
        </a:xfrm>
        <a:prstGeom xmlns:a="http://schemas.openxmlformats.org/drawingml/2006/main" prst="cloudCallout">
          <a:avLst>
            <a:gd name="adj1" fmla="val -32736"/>
            <a:gd name="adj2" fmla="val 70000"/>
          </a:avLst>
        </a:prstGeom>
        <a:gradFill xmlns:a="http://schemas.openxmlformats.org/drawingml/2006/main" rotWithShape="1">
          <a:gsLst>
            <a:gs pos="0">
              <a:srgbClr val="FFFFFF"/>
            </a:gs>
            <a:gs pos="100000">
              <a:srgbClr val="CCCCFF"/>
            </a:gs>
          </a:gsLst>
          <a:lin ang="5400000" scaled="1"/>
        </a:gradFill>
        <a:ln xmlns:a="http://schemas.openxmlformats.org/drawingml/2006/main" w="9525">
          <a:solidFill>
            <a:srgbClr val="000000"/>
          </a:solidFill>
          <a:round/>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ru-RU" sz="900" b="1" i="0" strike="noStrike">
              <a:solidFill>
                <a:srgbClr val="000000"/>
              </a:solidFill>
              <a:latin typeface="Arial Cyr"/>
            </a:rPr>
            <a:t>Всього</a:t>
          </a:r>
          <a:r>
            <a:rPr lang="ru-RU" sz="900" b="0" i="0" strike="noStrike">
              <a:solidFill>
                <a:srgbClr val="000000"/>
              </a:solidFill>
              <a:latin typeface="Arial Cyr"/>
            </a:rPr>
            <a:t> </a:t>
          </a:r>
          <a:endParaRPr lang="ru-RU" sz="900" b="1" i="0" strike="noStrike">
            <a:solidFill>
              <a:srgbClr val="000000"/>
            </a:solidFill>
            <a:latin typeface="Arial Cyr"/>
          </a:endParaRPr>
        </a:p>
        <a:p xmlns:a="http://schemas.openxmlformats.org/drawingml/2006/main">
          <a:pPr algn="ctr" rtl="1">
            <a:defRPr sz="1000"/>
          </a:pPr>
          <a:r>
            <a:rPr lang="ru-RU" sz="900" b="1" i="0" strike="noStrike">
              <a:solidFill>
                <a:srgbClr val="000000"/>
              </a:solidFill>
              <a:latin typeface="Arial Cyr"/>
            </a:rPr>
            <a:t> 2014 рік</a:t>
          </a:r>
        </a:p>
        <a:p xmlns:a="http://schemas.openxmlformats.org/drawingml/2006/main">
          <a:pPr algn="ctr" rtl="1">
            <a:defRPr sz="1000"/>
          </a:pPr>
          <a:r>
            <a:rPr lang="ru-RU" sz="900" b="1" i="0" strike="noStrike">
              <a:solidFill>
                <a:srgbClr val="000000"/>
              </a:solidFill>
              <a:latin typeface="Arial Cyr"/>
            </a:rPr>
            <a:t>11630,9 тис.грн.</a:t>
          </a:r>
        </a:p>
      </cdr:txBody>
    </cdr:sp>
  </cdr:relSizeAnchor>
  <cdr:relSizeAnchor xmlns:cdr="http://schemas.openxmlformats.org/drawingml/2006/chartDrawing">
    <cdr:from>
      <cdr:x>0.14324</cdr:x>
      <cdr:y>0.04867</cdr:y>
    </cdr:from>
    <cdr:to>
      <cdr:x>0.9443</cdr:x>
      <cdr:y>0.1615</cdr:y>
    </cdr:to>
    <cdr:sp macro="" textlink="">
      <cdr:nvSpPr>
        <cdr:cNvPr id="3" name="TextBox 2"/>
        <cdr:cNvSpPr txBox="1"/>
      </cdr:nvSpPr>
      <cdr:spPr>
        <a:xfrm xmlns:a="http://schemas.openxmlformats.org/drawingml/2006/main">
          <a:off x="1028701" y="209550"/>
          <a:ext cx="5753100" cy="4857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uk-UA" sz="1100" b="1"/>
            <a:t>Порівняння</a:t>
          </a:r>
          <a:r>
            <a:rPr lang="uk-UA" sz="1100" b="1" baseline="0"/>
            <a:t> видатків по галузі "Фізична культура і спорт" за 2014 - 2015 роки</a:t>
          </a:r>
        </a:p>
        <a:p xmlns:a="http://schemas.openxmlformats.org/drawingml/2006/main">
          <a:r>
            <a:rPr lang="uk-UA" sz="1100" b="1" baseline="0"/>
            <a:t>                                                                                                                                                                    тис.грн.</a:t>
          </a:r>
        </a:p>
        <a:p xmlns:a="http://schemas.openxmlformats.org/drawingml/2006/main">
          <a:r>
            <a:rPr lang="uk-UA" sz="1100" b="1" baseline="0"/>
            <a:t>                                                                                                                                                           </a:t>
          </a:r>
          <a:endParaRPr lang="ru-RU" sz="1100" b="1"/>
        </a:p>
      </cdr:txBody>
    </cdr:sp>
  </cdr:relSizeAnchor>
  <cdr:relSizeAnchor xmlns:cdr="http://schemas.openxmlformats.org/drawingml/2006/chartDrawing">
    <cdr:from>
      <cdr:x>0.43695</cdr:x>
      <cdr:y>0.22288</cdr:y>
    </cdr:from>
    <cdr:to>
      <cdr:x>0.61334</cdr:x>
      <cdr:y>0.30253</cdr:y>
    </cdr:to>
    <cdr:sp macro="" textlink="">
      <cdr:nvSpPr>
        <cdr:cNvPr id="4" name="Выгнутая вверх стрелка 3"/>
        <cdr:cNvSpPr/>
      </cdr:nvSpPr>
      <cdr:spPr>
        <a:xfrm xmlns:a="http://schemas.openxmlformats.org/drawingml/2006/main" rot="19893085">
          <a:off x="3420868" y="853430"/>
          <a:ext cx="1380942" cy="304984"/>
        </a:xfrm>
        <a:prstGeom xmlns:a="http://schemas.openxmlformats.org/drawingml/2006/main" prst="curvedDownArrow">
          <a:avLst/>
        </a:prstGeom>
        <a:solidFill xmlns:a="http://schemas.openxmlformats.org/drawingml/2006/main">
          <a:schemeClr val="accent1">
            <a:lumMod val="60000"/>
            <a:lumOff val="40000"/>
          </a:schemeClr>
        </a:solidFill>
        <a:ln xmlns:a="http://schemas.openxmlformats.org/drawingml/2006/main">
          <a:solidFill>
            <a:schemeClr val="tx2">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0.43501</cdr:x>
      <cdr:y>0.16009</cdr:y>
    </cdr:from>
    <cdr:to>
      <cdr:x>0.52653</cdr:x>
      <cdr:y>0.2323</cdr:y>
    </cdr:to>
    <cdr:sp macro="" textlink="">
      <cdr:nvSpPr>
        <cdr:cNvPr id="5" name="TextBox 4"/>
        <cdr:cNvSpPr txBox="1"/>
      </cdr:nvSpPr>
      <cdr:spPr>
        <a:xfrm xmlns:a="http://schemas.openxmlformats.org/drawingml/2006/main">
          <a:off x="3405656" y="612993"/>
          <a:ext cx="716503" cy="27649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b="1"/>
            <a:t>+</a:t>
          </a:r>
          <a:r>
            <a:rPr lang="ru-RU" sz="1000" b="1" baseline="0"/>
            <a:t> 27,0%</a:t>
          </a:r>
          <a:endParaRPr lang="ru-RU" sz="1000" b="1"/>
        </a:p>
      </cdr:txBody>
    </cdr:sp>
  </cdr:relSizeAnchor>
  <cdr:relSizeAnchor xmlns:cdr="http://schemas.openxmlformats.org/drawingml/2006/chartDrawing">
    <cdr:from>
      <cdr:x>0.1971</cdr:x>
      <cdr:y>0.25986</cdr:y>
    </cdr:from>
    <cdr:to>
      <cdr:x>0.24698</cdr:x>
      <cdr:y>0.32743</cdr:y>
    </cdr:to>
    <cdr:sp macro="" textlink="">
      <cdr:nvSpPr>
        <cdr:cNvPr id="6" name="TextBox 5"/>
        <cdr:cNvSpPr txBox="1"/>
      </cdr:nvSpPr>
      <cdr:spPr>
        <a:xfrm xmlns:a="http://schemas.openxmlformats.org/drawingml/2006/main">
          <a:off x="1543050" y="995017"/>
          <a:ext cx="390524" cy="25872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b="1"/>
            <a:t>на </a:t>
          </a:r>
          <a:r>
            <a:rPr lang="en-US" sz="1000" b="1"/>
            <a:t>20</a:t>
          </a:r>
          <a:r>
            <a:rPr lang="ru-RU" sz="1000" b="1"/>
            <a:t>,</a:t>
          </a:r>
          <a:r>
            <a:rPr lang="en-US" sz="1000" b="1"/>
            <a:t>9</a:t>
          </a:r>
          <a:r>
            <a:rPr lang="ru-RU" sz="1000" b="1"/>
            <a:t>%</a:t>
          </a:r>
        </a:p>
      </cdr:txBody>
    </cdr:sp>
  </cdr:relSizeAnchor>
  <cdr:relSizeAnchor xmlns:cdr="http://schemas.openxmlformats.org/drawingml/2006/chartDrawing">
    <cdr:from>
      <cdr:x>0.22019</cdr:x>
      <cdr:y>0.31665</cdr:y>
    </cdr:from>
    <cdr:to>
      <cdr:x>0.22656</cdr:x>
      <cdr:y>0.37196</cdr:y>
    </cdr:to>
    <cdr:sp macro="" textlink="">
      <cdr:nvSpPr>
        <cdr:cNvPr id="9" name="Стрелка вверх 8"/>
        <cdr:cNvSpPr/>
      </cdr:nvSpPr>
      <cdr:spPr>
        <a:xfrm xmlns:a="http://schemas.openxmlformats.org/drawingml/2006/main">
          <a:off x="1723842" y="1212459"/>
          <a:ext cx="49871" cy="211785"/>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0.33478</cdr:x>
      <cdr:y>0.59631</cdr:y>
    </cdr:from>
    <cdr:to>
      <cdr:x>0.34114</cdr:x>
      <cdr:y>0.66268</cdr:y>
    </cdr:to>
    <cdr:sp macro="" textlink="">
      <cdr:nvSpPr>
        <cdr:cNvPr id="10" name="Стрелка вверх 9"/>
        <cdr:cNvSpPr/>
      </cdr:nvSpPr>
      <cdr:spPr>
        <a:xfrm xmlns:a="http://schemas.openxmlformats.org/drawingml/2006/main">
          <a:off x="2620936" y="2283295"/>
          <a:ext cx="49792" cy="254134"/>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0.44051</cdr:x>
      <cdr:y>0.58955</cdr:y>
    </cdr:from>
    <cdr:to>
      <cdr:x>0.44635</cdr:x>
      <cdr:y>0.67013</cdr:y>
    </cdr:to>
    <cdr:sp macro="" textlink="">
      <cdr:nvSpPr>
        <cdr:cNvPr id="11" name="Стрелка вверх 10"/>
        <cdr:cNvSpPr/>
      </cdr:nvSpPr>
      <cdr:spPr>
        <a:xfrm xmlns:a="http://schemas.openxmlformats.org/drawingml/2006/main">
          <a:off x="3448689" y="2257425"/>
          <a:ext cx="45719" cy="308521"/>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0.54709</cdr:x>
      <cdr:y>0.59154</cdr:y>
    </cdr:from>
    <cdr:to>
      <cdr:x>0.55372</cdr:x>
      <cdr:y>0.65349</cdr:y>
    </cdr:to>
    <cdr:sp macro="" textlink="">
      <cdr:nvSpPr>
        <cdr:cNvPr id="12" name="Стрелка вверх 11"/>
        <cdr:cNvSpPr/>
      </cdr:nvSpPr>
      <cdr:spPr>
        <a:xfrm xmlns:a="http://schemas.openxmlformats.org/drawingml/2006/main">
          <a:off x="4283148" y="2265049"/>
          <a:ext cx="51906" cy="237210"/>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0.65882</cdr:x>
      <cdr:y>0.53861</cdr:y>
    </cdr:from>
    <cdr:to>
      <cdr:x>0.66519</cdr:x>
      <cdr:y>0.60277</cdr:y>
    </cdr:to>
    <cdr:sp macro="" textlink="">
      <cdr:nvSpPr>
        <cdr:cNvPr id="13" name="Стрелка вверх 12"/>
        <cdr:cNvSpPr/>
      </cdr:nvSpPr>
      <cdr:spPr>
        <a:xfrm xmlns:a="http://schemas.openxmlformats.org/drawingml/2006/main">
          <a:off x="5157874" y="2062349"/>
          <a:ext cx="49870" cy="245672"/>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0.75975</cdr:x>
      <cdr:y>0.512</cdr:y>
    </cdr:from>
    <cdr:to>
      <cdr:x>0.76991</cdr:x>
      <cdr:y>0.59165</cdr:y>
    </cdr:to>
    <cdr:sp macro="" textlink="">
      <cdr:nvSpPr>
        <cdr:cNvPr id="14" name="Стрелка вверх 13"/>
        <cdr:cNvSpPr/>
      </cdr:nvSpPr>
      <cdr:spPr>
        <a:xfrm xmlns:a="http://schemas.openxmlformats.org/drawingml/2006/main">
          <a:off x="5947996" y="1960487"/>
          <a:ext cx="79541" cy="304984"/>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0.31024</cdr:x>
      <cdr:y>0.52488</cdr:y>
    </cdr:from>
    <cdr:to>
      <cdr:x>0.36621</cdr:x>
      <cdr:y>0.58706</cdr:y>
    </cdr:to>
    <cdr:sp macro="" textlink="">
      <cdr:nvSpPr>
        <cdr:cNvPr id="15" name="TextBox 14"/>
        <cdr:cNvSpPr txBox="1"/>
      </cdr:nvSpPr>
      <cdr:spPr>
        <a:xfrm xmlns:a="http://schemas.openxmlformats.org/drawingml/2006/main">
          <a:off x="2428875" y="2009774"/>
          <a:ext cx="438150"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b="1"/>
            <a:t>на 11,5%</a:t>
          </a:r>
        </a:p>
      </cdr:txBody>
    </cdr:sp>
  </cdr:relSizeAnchor>
  <cdr:relSizeAnchor xmlns:cdr="http://schemas.openxmlformats.org/drawingml/2006/chartDrawing">
    <cdr:from>
      <cdr:x>0.37666</cdr:x>
      <cdr:y>0.51106</cdr:y>
    </cdr:from>
    <cdr:to>
      <cdr:x>0.46684</cdr:x>
      <cdr:y>0.58628</cdr:y>
    </cdr:to>
    <cdr:sp macro="" textlink="">
      <cdr:nvSpPr>
        <cdr:cNvPr id="16" name="TextBox 15"/>
        <cdr:cNvSpPr txBox="1"/>
      </cdr:nvSpPr>
      <cdr:spPr>
        <a:xfrm xmlns:a="http://schemas.openxmlformats.org/drawingml/2006/main">
          <a:off x="2705101" y="2200275"/>
          <a:ext cx="647700" cy="3238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0.42042</cdr:x>
      <cdr:y>0.56195</cdr:y>
    </cdr:from>
    <cdr:to>
      <cdr:x>0.54775</cdr:x>
      <cdr:y>0.77434</cdr:y>
    </cdr:to>
    <cdr:sp macro="" textlink="">
      <cdr:nvSpPr>
        <cdr:cNvPr id="17" name="TextBox 16"/>
        <cdr:cNvSpPr txBox="1"/>
      </cdr:nvSpPr>
      <cdr:spPr>
        <a:xfrm xmlns:a="http://schemas.openxmlformats.org/drawingml/2006/main">
          <a:off x="3019426" y="24193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0.41244</cdr:x>
      <cdr:y>0.52985</cdr:y>
    </cdr:from>
    <cdr:to>
      <cdr:x>0.48043</cdr:x>
      <cdr:y>0.5995</cdr:y>
    </cdr:to>
    <cdr:sp macro="" textlink="">
      <cdr:nvSpPr>
        <cdr:cNvPr id="18" name="TextBox 17"/>
        <cdr:cNvSpPr txBox="1"/>
      </cdr:nvSpPr>
      <cdr:spPr>
        <a:xfrm xmlns:a="http://schemas.openxmlformats.org/drawingml/2006/main">
          <a:off x="3228975" y="2028825"/>
          <a:ext cx="532271" cy="2667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b="1"/>
            <a:t>на 9,9%</a:t>
          </a:r>
        </a:p>
      </cdr:txBody>
    </cdr:sp>
  </cdr:relSizeAnchor>
  <cdr:relSizeAnchor xmlns:cdr="http://schemas.openxmlformats.org/drawingml/2006/chartDrawing">
    <cdr:from>
      <cdr:x>0.51459</cdr:x>
      <cdr:y>0.5199</cdr:y>
    </cdr:from>
    <cdr:to>
      <cdr:x>0.61538</cdr:x>
      <cdr:y>0.58955</cdr:y>
    </cdr:to>
    <cdr:sp macro="" textlink="">
      <cdr:nvSpPr>
        <cdr:cNvPr id="19" name="TextBox 18"/>
        <cdr:cNvSpPr txBox="1"/>
      </cdr:nvSpPr>
      <cdr:spPr>
        <a:xfrm xmlns:a="http://schemas.openxmlformats.org/drawingml/2006/main">
          <a:off x="4028681" y="1990725"/>
          <a:ext cx="789077"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b="1"/>
            <a:t>на 37,8 %</a:t>
          </a:r>
        </a:p>
      </cdr:txBody>
    </cdr:sp>
  </cdr:relSizeAnchor>
  <cdr:relSizeAnchor xmlns:cdr="http://schemas.openxmlformats.org/drawingml/2006/chartDrawing">
    <cdr:from>
      <cdr:x>0.62414</cdr:x>
      <cdr:y>0.46517</cdr:y>
    </cdr:from>
    <cdr:to>
      <cdr:x>0.71052</cdr:x>
      <cdr:y>0.53234</cdr:y>
    </cdr:to>
    <cdr:sp macro="" textlink="">
      <cdr:nvSpPr>
        <cdr:cNvPr id="20" name="TextBox 19"/>
        <cdr:cNvSpPr txBox="1"/>
      </cdr:nvSpPr>
      <cdr:spPr>
        <a:xfrm xmlns:a="http://schemas.openxmlformats.org/drawingml/2006/main">
          <a:off x="4886325" y="1781175"/>
          <a:ext cx="676275"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b="1"/>
            <a:t>на 55,7%</a:t>
          </a:r>
        </a:p>
      </cdr:txBody>
    </cdr:sp>
  </cdr:relSizeAnchor>
  <cdr:relSizeAnchor xmlns:cdr="http://schemas.openxmlformats.org/drawingml/2006/chartDrawing">
    <cdr:from>
      <cdr:x>0.73364</cdr:x>
      <cdr:y>0.42227</cdr:y>
    </cdr:from>
    <cdr:to>
      <cdr:x>0.81393</cdr:x>
      <cdr:y>0.50348</cdr:y>
    </cdr:to>
    <cdr:sp macro="" textlink="">
      <cdr:nvSpPr>
        <cdr:cNvPr id="21" name="TextBox 20"/>
        <cdr:cNvSpPr txBox="1"/>
      </cdr:nvSpPr>
      <cdr:spPr>
        <a:xfrm xmlns:a="http://schemas.openxmlformats.org/drawingml/2006/main">
          <a:off x="5743576" y="1616893"/>
          <a:ext cx="628650" cy="31095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b="1"/>
            <a:t>на </a:t>
          </a:r>
          <a:r>
            <a:rPr lang="en-US" sz="1000" b="1"/>
            <a:t>32</a:t>
          </a:r>
          <a:r>
            <a:rPr lang="uk-UA" sz="1000" b="1"/>
            <a:t>,6</a:t>
          </a:r>
          <a:r>
            <a:rPr lang="ru-RU" sz="1000" b="1"/>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1</Pages>
  <Words>25217</Words>
  <Characters>143743</Characters>
  <Application>Microsoft Office Word</Application>
  <DocSecurity>0</DocSecurity>
  <Lines>1197</Lines>
  <Paragraphs>337</Paragraphs>
  <ScaleCrop>false</ScaleCrop>
  <Company>diakov.net</Company>
  <LinksUpToDate>false</LinksUpToDate>
  <CharactersWithSpaces>168623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dc:creator>
  <cp:keywords/>
  <dc:description/>
  <cp:lastModifiedBy>Гаврилова Жанна</cp:lastModifiedBy>
  <cp:revision>7</cp:revision>
  <dcterms:created xsi:type="dcterms:W3CDTF">2016-02-03T13:48:00Z</dcterms:created>
  <dcterms:modified xsi:type="dcterms:W3CDTF">2016-02-15T08:45:00Z</dcterms:modified>
</cp:coreProperties>
</file>