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74351" w:rsidTr="00774351">
        <w:trPr>
          <w:trHeight w:val="1140"/>
        </w:trPr>
        <w:tc>
          <w:tcPr>
            <w:tcW w:w="9180" w:type="dxa"/>
          </w:tcPr>
          <w:p w:rsidR="00774351" w:rsidRDefault="0077435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774351" w:rsidRPr="004732FE" w:rsidRDefault="00774351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</w:t>
            </w:r>
            <w:r w:rsidR="004732FE">
              <w:rPr>
                <w:b/>
                <w:i/>
                <w:sz w:val="28"/>
                <w:szCs w:val="28"/>
                <w:lang w:val="uk-UA" w:eastAsia="en-US"/>
              </w:rPr>
              <w:t xml:space="preserve">             ЗАСІДАННІ ВИКОНКОМУ</w:t>
            </w:r>
          </w:p>
          <w:p w:rsidR="00774351" w:rsidRDefault="00774351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74351" w:rsidRDefault="00CA7DB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11</w:t>
            </w:r>
            <w:r w:rsidR="004732F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</w:t>
            </w:r>
            <w:r w:rsidR="0077435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774351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77435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74351">
              <w:rPr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4732FE">
              <w:rPr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774351">
              <w:rPr>
                <w:b/>
                <w:sz w:val="28"/>
                <w:szCs w:val="28"/>
                <w:lang w:val="uk-UA" w:eastAsia="en-US"/>
              </w:rPr>
              <w:t xml:space="preserve">                                   09.30                          </w:t>
            </w:r>
          </w:p>
          <w:p w:rsidR="00774351" w:rsidRDefault="0077435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74351" w:rsidTr="00774351">
        <w:trPr>
          <w:trHeight w:val="986"/>
        </w:trPr>
        <w:tc>
          <w:tcPr>
            <w:tcW w:w="9180" w:type="dxa"/>
            <w:hideMark/>
          </w:tcPr>
          <w:p w:rsidR="00774351" w:rsidRDefault="00774351" w:rsidP="0077435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виконавчого комітету з питань звільнення громадян від оплати за утримання соціальних послуг у територіальних центрах надання соціальних послуг </w:t>
            </w:r>
          </w:p>
          <w:p w:rsidR="00CA7DBF" w:rsidRDefault="00CA7DBF" w:rsidP="0077435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квартири від імені недієздатної </w:t>
            </w:r>
          </w:p>
          <w:p w:rsidR="00CA7DBF" w:rsidRDefault="00CA7DBF" w:rsidP="0077435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майна від імені недієздатного 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 Іванович 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732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4732FE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4732FE" w:rsidRPr="004732FE" w:rsidRDefault="004732FE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774351" w:rsidTr="00774351">
        <w:trPr>
          <w:trHeight w:val="986"/>
        </w:trPr>
        <w:tc>
          <w:tcPr>
            <w:tcW w:w="9180" w:type="dxa"/>
            <w:hideMark/>
          </w:tcPr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Сиротенка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  <w:r w:rsidR="004732FE">
              <w:rPr>
                <w:sz w:val="28"/>
                <w:szCs w:val="28"/>
                <w:lang w:val="uk-UA" w:eastAsia="en-US"/>
              </w:rPr>
              <w:t>»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01.11.2017 № 2-2485 «Про затвердження положень про відзначення міськими нагородами» у новій редакції» </w:t>
            </w:r>
          </w:p>
          <w:p w:rsidR="00774351" w:rsidRDefault="00774351" w:rsidP="0077435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13.09.2016 № 2-899 «Про затвердження програми фінансування заходів, пов’язаних із нагородженням міськими відзнаками громадян, трудових колективів на 2016-2020 роки» (зі змінами) </w:t>
            </w:r>
          </w:p>
          <w:p w:rsidR="00774351" w:rsidRDefault="00774351" w:rsidP="0077435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передачі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департаменту соц</w:t>
            </w:r>
            <w:r w:rsidR="00B1544E">
              <w:rPr>
                <w:sz w:val="28"/>
                <w:szCs w:val="28"/>
                <w:lang w:val="uk-UA" w:eastAsia="en-US"/>
              </w:rPr>
              <w:t xml:space="preserve">іальної </w:t>
            </w:r>
            <w:r>
              <w:rPr>
                <w:sz w:val="28"/>
                <w:szCs w:val="28"/>
                <w:lang w:val="uk-UA" w:eastAsia="en-US"/>
              </w:rPr>
              <w:t>політики частини нежитлових приміщень по вул.. Благовісній, 170 та проектної документації об’єкту «Реконструкція приміщення майнового комплексу для центру надання соціальних послуг «Прозорий офіс» по вул. Благовісній, 170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</w:t>
            </w:r>
          </w:p>
          <w:p w:rsidR="00CA7DBF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732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4732FE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Pr="004732F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Pr="004732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732FE" w:rsidRPr="004732FE" w:rsidRDefault="004732FE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774351" w:rsidTr="00774351">
        <w:trPr>
          <w:trHeight w:val="986"/>
        </w:trPr>
        <w:tc>
          <w:tcPr>
            <w:tcW w:w="9180" w:type="dxa"/>
            <w:hideMark/>
          </w:tcPr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16.03.2017 № 263 «Про заходи із збільшен</w:t>
            </w:r>
            <w:r w:rsidR="004732FE">
              <w:rPr>
                <w:sz w:val="28"/>
                <w:szCs w:val="28"/>
                <w:lang w:val="uk-UA" w:eastAsia="en-US"/>
              </w:rPr>
              <w:t>ня доходів, економію коштів та</w:t>
            </w:r>
            <w:r>
              <w:rPr>
                <w:sz w:val="28"/>
                <w:szCs w:val="28"/>
                <w:lang w:val="uk-UA" w:eastAsia="en-US"/>
              </w:rPr>
              <w:t xml:space="preserve"> недопущення втрат бюджету»  </w:t>
            </w:r>
          </w:p>
          <w:p w:rsidR="00CA7DBF" w:rsidRDefault="00CA7DBF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основних засобів (3 рішення) 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CA7DBF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732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4732FE">
              <w:rPr>
                <w:sz w:val="28"/>
                <w:szCs w:val="28"/>
                <w:lang w:val="uk-UA" w:eastAsia="en-US"/>
              </w:rPr>
              <w:t xml:space="preserve">департамент фінансової </w:t>
            </w:r>
            <w:r w:rsidR="005E792A" w:rsidRPr="004732FE">
              <w:rPr>
                <w:sz w:val="28"/>
                <w:szCs w:val="28"/>
                <w:lang w:val="uk-UA" w:eastAsia="en-US"/>
              </w:rPr>
              <w:t xml:space="preserve"> політики</w:t>
            </w:r>
            <w:r w:rsidRPr="004732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732FE" w:rsidRPr="004732FE" w:rsidRDefault="004732FE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CA7DBF" w:rsidTr="00774351">
        <w:trPr>
          <w:trHeight w:val="986"/>
        </w:trPr>
        <w:tc>
          <w:tcPr>
            <w:tcW w:w="9180" w:type="dxa"/>
          </w:tcPr>
          <w:p w:rsidR="00CA7DBF" w:rsidRPr="00CA7DBF" w:rsidRDefault="004732FE" w:rsidP="00CA7DB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7DBF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закладів культури та міського методичного кабінету установ освіти </w:t>
            </w:r>
          </w:p>
          <w:p w:rsidR="004732FE" w:rsidRDefault="00CA7DBF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   </w:t>
            </w:r>
          </w:p>
          <w:p w:rsidR="00CA7DBF" w:rsidRPr="004732FE" w:rsidRDefault="00CA7DBF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732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4732FE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774351" w:rsidTr="00774351">
        <w:trPr>
          <w:trHeight w:val="986"/>
        </w:trPr>
        <w:tc>
          <w:tcPr>
            <w:tcW w:w="9180" w:type="dxa"/>
          </w:tcPr>
          <w:p w:rsidR="00774351" w:rsidRDefault="0077435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774351" w:rsidRDefault="00774351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5E792A">
              <w:rPr>
                <w:sz w:val="28"/>
                <w:szCs w:val="28"/>
                <w:lang w:val="uk-UA" w:eastAsia="en-US"/>
              </w:rPr>
              <w:t xml:space="preserve">використання матеріального резерву місцевого рівня та передачу лікарських засобів </w:t>
            </w:r>
          </w:p>
          <w:p w:rsidR="005E792A" w:rsidRDefault="004732FE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>Про згоду на передачу майна з балансу КП «</w:t>
            </w:r>
            <w:proofErr w:type="spellStart"/>
            <w:r w:rsidR="005E792A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5E792A">
              <w:rPr>
                <w:sz w:val="28"/>
                <w:szCs w:val="28"/>
                <w:lang w:val="uk-UA" w:eastAsia="en-US"/>
              </w:rPr>
              <w:t xml:space="preserve"> СУБ» на баланс КП «Придніпровська СУБ» </w:t>
            </w:r>
          </w:p>
          <w:p w:rsidR="005E792A" w:rsidRDefault="005E792A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внесення змін до рішення виконкому від 11.07.2017 № 723 « Про розподіл коштів на капітальний ремонт житлового будинку ОСББ «Енергія-2016» на 2017 рік» </w:t>
            </w:r>
          </w:p>
          <w:p w:rsidR="005E792A" w:rsidRDefault="004732FE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«Енергія-2016» на 2017 рік </w:t>
            </w:r>
          </w:p>
          <w:p w:rsidR="005E792A" w:rsidRDefault="004732FE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 xml:space="preserve">Про виключення квартири по вул.. Різдвяній, 14 із числа службових </w:t>
            </w:r>
          </w:p>
          <w:p w:rsidR="005E792A" w:rsidRDefault="004732FE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>Про затвердження рішення житлово-побутової комісії в.</w:t>
            </w:r>
            <w:r w:rsidR="00B1544E"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>ч. Національної гвардії  України</w:t>
            </w:r>
          </w:p>
          <w:p w:rsidR="005E792A" w:rsidRDefault="004732FE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 xml:space="preserve">Про внесення змін до рішення від 17.05.2016 № 588 «Про затвердження складу громадської комісії з житлових питань» </w:t>
            </w:r>
          </w:p>
          <w:p w:rsidR="005E792A" w:rsidRPr="005E792A" w:rsidRDefault="005E792A" w:rsidP="005E792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дерев </w:t>
            </w:r>
          </w:p>
          <w:p w:rsidR="00774351" w:rsidRPr="005E792A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5E792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4732FE">
              <w:rPr>
                <w:sz w:val="28"/>
                <w:szCs w:val="28"/>
                <w:lang w:val="uk-UA" w:eastAsia="en-US"/>
              </w:rPr>
              <w:t xml:space="preserve"> </w:t>
            </w:r>
            <w:r w:rsidRPr="005E792A">
              <w:rPr>
                <w:sz w:val="28"/>
                <w:szCs w:val="28"/>
                <w:lang w:val="uk-UA" w:eastAsia="en-US"/>
              </w:rPr>
              <w:t xml:space="preserve">Танюк Сергій Олександрович    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732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4732FE">
              <w:rPr>
                <w:sz w:val="28"/>
                <w:szCs w:val="28"/>
                <w:lang w:val="uk-UA" w:eastAsia="en-US"/>
              </w:rPr>
              <w:t>департамент  ЖКК</w:t>
            </w:r>
          </w:p>
          <w:p w:rsidR="004732FE" w:rsidRPr="004732FE" w:rsidRDefault="004732FE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774351" w:rsidTr="00774351">
        <w:trPr>
          <w:trHeight w:val="986"/>
        </w:trPr>
        <w:tc>
          <w:tcPr>
            <w:tcW w:w="9180" w:type="dxa"/>
          </w:tcPr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774351" w:rsidRDefault="004732FE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7435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 ФОП Литвин М.В.</w:t>
            </w:r>
          </w:p>
          <w:p w:rsidR="005E792A" w:rsidRDefault="004732FE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ПП «</w:t>
            </w:r>
            <w:proofErr w:type="spellStart"/>
            <w:r w:rsidR="005E792A">
              <w:rPr>
                <w:sz w:val="28"/>
                <w:szCs w:val="28"/>
                <w:lang w:val="uk-UA" w:eastAsia="en-US"/>
              </w:rPr>
              <w:t>Демальянс</w:t>
            </w:r>
            <w:proofErr w:type="spellEnd"/>
            <w:r w:rsidR="005E792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E792A" w:rsidRDefault="004732FE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792A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«РА «</w:t>
            </w:r>
            <w:proofErr w:type="spellStart"/>
            <w:r w:rsidR="005E792A">
              <w:rPr>
                <w:sz w:val="28"/>
                <w:szCs w:val="28"/>
                <w:lang w:val="uk-UA" w:eastAsia="en-US"/>
              </w:rPr>
              <w:t>Багі-ра</w:t>
            </w:r>
            <w:proofErr w:type="spellEnd"/>
            <w:r w:rsidR="005E792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розміщення зовнішньої  реклами , виданого на підс</w:t>
            </w:r>
            <w:r w:rsidR="00B1544E">
              <w:rPr>
                <w:sz w:val="28"/>
                <w:szCs w:val="28"/>
                <w:lang w:val="uk-UA" w:eastAsia="en-US"/>
              </w:rPr>
              <w:t xml:space="preserve">таві рішення виконкому від 09.012.2016 № 1678 </w:t>
            </w:r>
            <w:r>
              <w:rPr>
                <w:sz w:val="28"/>
                <w:szCs w:val="28"/>
                <w:lang w:val="uk-UA" w:eastAsia="en-US"/>
              </w:rPr>
              <w:t xml:space="preserve"> «Про надання дозволу на розміщення зовнішньої реклами </w:t>
            </w:r>
            <w:r w:rsidR="00B1544E">
              <w:rPr>
                <w:sz w:val="28"/>
                <w:szCs w:val="28"/>
                <w:lang w:val="uk-UA" w:eastAsia="en-US"/>
              </w:rPr>
              <w:t xml:space="preserve"> ПП «</w:t>
            </w:r>
            <w:proofErr w:type="spellStart"/>
            <w:r w:rsidR="00B1544E">
              <w:rPr>
                <w:sz w:val="28"/>
                <w:szCs w:val="28"/>
                <w:lang w:val="uk-UA" w:eastAsia="en-US"/>
              </w:rPr>
              <w:t>Платинум</w:t>
            </w:r>
            <w:proofErr w:type="spellEnd"/>
            <w:r w:rsidR="00B1544E">
              <w:rPr>
                <w:sz w:val="28"/>
                <w:szCs w:val="28"/>
                <w:lang w:val="uk-UA" w:eastAsia="en-US"/>
              </w:rPr>
              <w:t xml:space="preserve"> Банк»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74351" w:rsidRDefault="00B1544E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A7DBF" w:rsidRPr="00B1544E" w:rsidRDefault="00CA7DBF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31.03.2016 № 2-424 «Про затвердження програми розвитку земельних відносин та використання і охорони земель на 2016-2018 роки» </w:t>
            </w:r>
          </w:p>
          <w:p w:rsidR="00774351" w:rsidRDefault="00774351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  </w:t>
            </w:r>
          </w:p>
          <w:p w:rsidR="00774351" w:rsidRDefault="0077435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774351" w:rsidRDefault="0077435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774351" w:rsidRPr="00B1544E" w:rsidTr="00774351">
        <w:trPr>
          <w:trHeight w:val="986"/>
        </w:trPr>
        <w:tc>
          <w:tcPr>
            <w:tcW w:w="9180" w:type="dxa"/>
            <w:hideMark/>
          </w:tcPr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</w:t>
            </w:r>
            <w:r w:rsidR="00B1544E">
              <w:rPr>
                <w:sz w:val="28"/>
                <w:szCs w:val="28"/>
                <w:lang w:val="uk-UA" w:eastAsia="en-US"/>
              </w:rPr>
              <w:t xml:space="preserve">комплексу будівель та споруд по вул.. Благовісній, 398 </w:t>
            </w:r>
          </w:p>
          <w:p w:rsidR="00B1544E" w:rsidRDefault="00774351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1544E">
              <w:rPr>
                <w:sz w:val="28"/>
                <w:szCs w:val="28"/>
                <w:lang w:val="uk-UA" w:eastAsia="en-US"/>
              </w:rPr>
              <w:t>затвердження акту    прийому-передачі на баланс КП «</w:t>
            </w:r>
            <w:proofErr w:type="spellStart"/>
            <w:r w:rsidR="00B1544E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B1544E">
              <w:rPr>
                <w:sz w:val="28"/>
                <w:szCs w:val="28"/>
                <w:lang w:val="uk-UA" w:eastAsia="en-US"/>
              </w:rPr>
              <w:t xml:space="preserve">» зовнішньої мережі водовідведення до житлового </w:t>
            </w:r>
            <w:r w:rsidR="00B1544E">
              <w:rPr>
                <w:sz w:val="28"/>
                <w:szCs w:val="28"/>
                <w:lang w:val="uk-UA" w:eastAsia="en-US"/>
              </w:rPr>
              <w:lastRenderedPageBreak/>
              <w:t xml:space="preserve">будинку по вул.. Г. </w:t>
            </w:r>
            <w:proofErr w:type="spellStart"/>
            <w:r w:rsidR="00B1544E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B1544E">
              <w:rPr>
                <w:sz w:val="28"/>
                <w:szCs w:val="28"/>
                <w:lang w:val="uk-UA" w:eastAsia="en-US"/>
              </w:rPr>
              <w:t xml:space="preserve">, 3 </w:t>
            </w:r>
          </w:p>
          <w:p w:rsidR="00B1544E" w:rsidRDefault="00B1544E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гуртожитку по вул.. Портова, 12 на баланс КП «Придніпровська СУБ» </w:t>
            </w:r>
          </w:p>
          <w:p w:rsidR="00B1544E" w:rsidRDefault="00B1544E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громадських робіт у 2018 році </w:t>
            </w:r>
          </w:p>
          <w:p w:rsidR="00B1544E" w:rsidRDefault="00B1544E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плану розробки проектів регуляторних актів виконавчими органами Черкаської міської ради на 2018 рік </w:t>
            </w:r>
          </w:p>
          <w:p w:rsidR="00774351" w:rsidRDefault="004732FE" w:rsidP="00B154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1544E">
              <w:rPr>
                <w:sz w:val="28"/>
                <w:szCs w:val="28"/>
                <w:lang w:val="uk-UA" w:eastAsia="en-US"/>
              </w:rPr>
              <w:t xml:space="preserve">Про встановлення тарифу на послуги теплопостачання, що надаються ТОВ НВП «БІГ СТОКЕР» </w:t>
            </w:r>
            <w:r w:rsidR="0077435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4351" w:rsidRPr="004732FE" w:rsidTr="00774351">
        <w:trPr>
          <w:trHeight w:val="986"/>
        </w:trPr>
        <w:tc>
          <w:tcPr>
            <w:tcW w:w="9180" w:type="dxa"/>
          </w:tcPr>
          <w:p w:rsidR="00774351" w:rsidRDefault="0077435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774351" w:rsidRDefault="00774351" w:rsidP="002344D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розташований за адресою: м. Черкаси,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9/вул..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774351" w:rsidRDefault="00774351" w:rsidP="00EE3B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</w:t>
            </w:r>
            <w:r w:rsidR="004732FE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буд. 92, приміщення 1</w:t>
            </w:r>
          </w:p>
          <w:p w:rsidR="004732FE" w:rsidRDefault="004732FE" w:rsidP="004732F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4732FE" w:rsidRDefault="004732FE" w:rsidP="004732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4732FE" w:rsidRPr="004732FE" w:rsidRDefault="004732FE" w:rsidP="004732F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74351" w:rsidRDefault="00774351" w:rsidP="004732FE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3B46D1" w:rsidRPr="00774351" w:rsidRDefault="003B46D1">
      <w:pPr>
        <w:rPr>
          <w:lang w:val="uk-UA"/>
        </w:rPr>
      </w:pPr>
      <w:bookmarkStart w:id="0" w:name="_GoBack"/>
      <w:bookmarkEnd w:id="0"/>
    </w:p>
    <w:sectPr w:rsidR="003B46D1" w:rsidRPr="0077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6"/>
    <w:rsid w:val="003B46D1"/>
    <w:rsid w:val="004732FE"/>
    <w:rsid w:val="005E792A"/>
    <w:rsid w:val="006047A6"/>
    <w:rsid w:val="00774351"/>
    <w:rsid w:val="00B1544E"/>
    <w:rsid w:val="00CA7DBF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51"/>
    <w:pPr>
      <w:ind w:left="720"/>
      <w:contextualSpacing/>
    </w:pPr>
  </w:style>
  <w:style w:type="table" w:styleId="a4">
    <w:name w:val="Table Grid"/>
    <w:basedOn w:val="a1"/>
    <w:rsid w:val="0077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51"/>
    <w:pPr>
      <w:ind w:left="720"/>
      <w:contextualSpacing/>
    </w:pPr>
  </w:style>
  <w:style w:type="table" w:styleId="a4">
    <w:name w:val="Table Grid"/>
    <w:basedOn w:val="a1"/>
    <w:rsid w:val="0077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2017-12-07T07:31:00Z</dcterms:created>
  <dcterms:modified xsi:type="dcterms:W3CDTF">2017-12-08T08:28:00Z</dcterms:modified>
</cp:coreProperties>
</file>